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5E1F" w14:textId="3B118FDA" w:rsidR="00A17A28" w:rsidRPr="000E40DB" w:rsidRDefault="000E40DB">
      <w:pPr>
        <w:pStyle w:val="Title"/>
        <w:rPr>
          <w:rFonts w:ascii="Arial" w:hAnsi="Arial" w:cs="Arial"/>
          <w:sz w:val="24"/>
        </w:rPr>
      </w:pPr>
      <w:bookmarkStart w:id="0" w:name="_GoBack"/>
      <w:bookmarkEnd w:id="0"/>
      <w:r w:rsidRPr="000E40DB">
        <w:rPr>
          <w:rFonts w:ascii="Arial" w:hAnsi="Arial" w:cs="Arial"/>
          <w:sz w:val="24"/>
        </w:rPr>
        <w:t>NAME</w:t>
      </w:r>
    </w:p>
    <w:p w14:paraId="18AEA0D5" w14:textId="77777777" w:rsidR="007A72BC" w:rsidRDefault="00FB2F23">
      <w:pPr>
        <w:pStyle w:val="Title"/>
        <w:rPr>
          <w:rFonts w:ascii="Arial" w:hAnsi="Arial" w:cs="Arial"/>
          <w:sz w:val="24"/>
        </w:rPr>
      </w:pPr>
      <w:r w:rsidRPr="00F34617">
        <w:rPr>
          <w:rFonts w:ascii="Arial" w:hAnsi="Arial" w:cs="Arial"/>
          <w:sz w:val="24"/>
        </w:rPr>
        <w:t xml:space="preserve">Vendor Management Policy </w:t>
      </w:r>
    </w:p>
    <w:p w14:paraId="7E5CCF7C" w14:textId="655E68A8" w:rsidR="00E23B60" w:rsidRPr="006F62CC" w:rsidRDefault="006F62CC" w:rsidP="00884BB9">
      <w:pPr>
        <w:pStyle w:val="Title"/>
        <w:rPr>
          <w:rFonts w:ascii="Arial" w:hAnsi="Arial" w:cs="Arial"/>
          <w:sz w:val="24"/>
        </w:rPr>
      </w:pPr>
      <w:r>
        <w:rPr>
          <w:rFonts w:ascii="Arial" w:hAnsi="Arial" w:cs="Arial"/>
          <w:sz w:val="24"/>
        </w:rPr>
        <w:t xml:space="preserve">Approved by Board of Directors – </w:t>
      </w:r>
      <w:r w:rsidR="000E40DB">
        <w:rPr>
          <w:rFonts w:ascii="Arial" w:hAnsi="Arial" w:cs="Arial"/>
          <w:sz w:val="24"/>
        </w:rPr>
        <w:t>Date</w:t>
      </w:r>
    </w:p>
    <w:p w14:paraId="4990CC85" w14:textId="77777777" w:rsidR="00884BB9" w:rsidRDefault="00884BB9" w:rsidP="00884BB9">
      <w:pPr>
        <w:pStyle w:val="Title"/>
        <w:rPr>
          <w:rFonts w:ascii="Arial" w:hAnsi="Arial" w:cs="Arial"/>
          <w:b w:val="0"/>
          <w:sz w:val="22"/>
          <w:szCs w:val="22"/>
        </w:rPr>
      </w:pPr>
    </w:p>
    <w:p w14:paraId="5302E98D" w14:textId="77777777" w:rsidR="00A17A28" w:rsidRPr="00D731AA" w:rsidRDefault="00A17A28">
      <w:pPr>
        <w:rPr>
          <w:rFonts w:ascii="Arial" w:hAnsi="Arial" w:cs="Arial"/>
          <w:b/>
          <w:sz w:val="22"/>
          <w:szCs w:val="22"/>
        </w:rPr>
      </w:pPr>
      <w:r w:rsidRPr="00D731AA">
        <w:rPr>
          <w:rFonts w:ascii="Arial" w:hAnsi="Arial" w:cs="Arial"/>
          <w:b/>
          <w:sz w:val="22"/>
          <w:szCs w:val="22"/>
        </w:rPr>
        <w:t>Introduction</w:t>
      </w:r>
    </w:p>
    <w:p w14:paraId="31C69AE5" w14:textId="77777777" w:rsidR="00A17A28" w:rsidRPr="006C6A55" w:rsidRDefault="00A17A28">
      <w:pPr>
        <w:rPr>
          <w:rFonts w:ascii="Arial" w:hAnsi="Arial" w:cs="Arial"/>
          <w:sz w:val="16"/>
          <w:szCs w:val="16"/>
        </w:rPr>
      </w:pPr>
    </w:p>
    <w:p w14:paraId="2B310069" w14:textId="6824C93E" w:rsidR="00A17A28" w:rsidRPr="00D731AA" w:rsidRDefault="00A17A28" w:rsidP="00D4702D">
      <w:pPr>
        <w:ind w:right="-72"/>
        <w:rPr>
          <w:rFonts w:ascii="Arial" w:hAnsi="Arial" w:cs="Arial"/>
          <w:sz w:val="22"/>
          <w:szCs w:val="22"/>
        </w:rPr>
      </w:pPr>
      <w:r w:rsidRPr="00D731AA">
        <w:rPr>
          <w:rFonts w:ascii="Arial" w:hAnsi="Arial" w:cs="Arial"/>
          <w:sz w:val="22"/>
          <w:szCs w:val="22"/>
        </w:rPr>
        <w:t xml:space="preserve">The Board of Directors and Management </w:t>
      </w:r>
      <w:r w:rsidR="00C234D1" w:rsidRPr="00D731AA">
        <w:rPr>
          <w:rFonts w:ascii="Arial" w:hAnsi="Arial" w:cs="Arial"/>
          <w:sz w:val="22"/>
          <w:szCs w:val="22"/>
        </w:rPr>
        <w:t xml:space="preserve">of </w:t>
      </w:r>
      <w:r w:rsidR="000E40DB">
        <w:rPr>
          <w:rFonts w:ascii="Arial" w:hAnsi="Arial" w:cs="Arial"/>
          <w:sz w:val="22"/>
          <w:szCs w:val="22"/>
        </w:rPr>
        <w:t>&lt;NAME&gt;</w:t>
      </w:r>
      <w:r w:rsidRPr="00D731AA">
        <w:rPr>
          <w:rFonts w:ascii="Arial" w:hAnsi="Arial" w:cs="Arial"/>
          <w:sz w:val="22"/>
          <w:szCs w:val="22"/>
        </w:rPr>
        <w:t xml:space="preserve"> </w:t>
      </w:r>
      <w:r w:rsidR="000667FD">
        <w:rPr>
          <w:rFonts w:ascii="Arial" w:hAnsi="Arial" w:cs="Arial"/>
          <w:sz w:val="22"/>
          <w:szCs w:val="22"/>
        </w:rPr>
        <w:t>recognize the B</w:t>
      </w:r>
      <w:r w:rsidR="00C234D1" w:rsidRPr="00D731AA">
        <w:rPr>
          <w:rFonts w:ascii="Arial" w:hAnsi="Arial" w:cs="Arial"/>
          <w:sz w:val="22"/>
          <w:szCs w:val="22"/>
        </w:rPr>
        <w:t xml:space="preserve">ank </w:t>
      </w:r>
      <w:r w:rsidRPr="00D731AA">
        <w:rPr>
          <w:rFonts w:ascii="Arial" w:hAnsi="Arial" w:cs="Arial"/>
          <w:sz w:val="22"/>
          <w:szCs w:val="22"/>
        </w:rPr>
        <w:t>acquires</w:t>
      </w:r>
      <w:r w:rsidR="007A72BC" w:rsidRPr="00D731AA">
        <w:rPr>
          <w:rFonts w:ascii="Arial" w:hAnsi="Arial" w:cs="Arial"/>
          <w:sz w:val="22"/>
          <w:szCs w:val="22"/>
        </w:rPr>
        <w:t xml:space="preserve"> </w:t>
      </w:r>
      <w:r w:rsidRPr="00D731AA">
        <w:rPr>
          <w:rFonts w:ascii="Arial" w:hAnsi="Arial" w:cs="Arial"/>
          <w:sz w:val="22"/>
          <w:szCs w:val="22"/>
        </w:rPr>
        <w:t xml:space="preserve">services from </w:t>
      </w:r>
      <w:r w:rsidR="00C234D1" w:rsidRPr="00D731AA">
        <w:rPr>
          <w:rFonts w:ascii="Arial" w:hAnsi="Arial" w:cs="Arial"/>
          <w:sz w:val="22"/>
          <w:szCs w:val="22"/>
        </w:rPr>
        <w:t xml:space="preserve">various </w:t>
      </w:r>
      <w:r w:rsidRPr="00D731AA">
        <w:rPr>
          <w:rFonts w:ascii="Arial" w:hAnsi="Arial" w:cs="Arial"/>
          <w:sz w:val="22"/>
          <w:szCs w:val="22"/>
        </w:rPr>
        <w:t>third-party service providers</w:t>
      </w:r>
      <w:r w:rsidR="008F2A00" w:rsidRPr="00D731AA">
        <w:rPr>
          <w:rFonts w:ascii="Arial" w:hAnsi="Arial" w:cs="Arial"/>
          <w:sz w:val="22"/>
          <w:szCs w:val="22"/>
        </w:rPr>
        <w:t>/vendors</w:t>
      </w:r>
      <w:r w:rsidR="00C234D1" w:rsidRPr="00D731AA">
        <w:rPr>
          <w:rFonts w:ascii="Arial" w:hAnsi="Arial" w:cs="Arial"/>
          <w:sz w:val="22"/>
          <w:szCs w:val="22"/>
        </w:rPr>
        <w:t>.  The service providers include hardware/</w:t>
      </w:r>
      <w:r w:rsidRPr="00D731AA">
        <w:rPr>
          <w:rFonts w:ascii="Arial" w:hAnsi="Arial" w:cs="Arial"/>
          <w:sz w:val="22"/>
          <w:szCs w:val="22"/>
        </w:rPr>
        <w:t>software vendors</w:t>
      </w:r>
      <w:r w:rsidR="00C234D1" w:rsidRPr="00D731AA">
        <w:rPr>
          <w:rFonts w:ascii="Arial" w:hAnsi="Arial" w:cs="Arial"/>
          <w:sz w:val="22"/>
          <w:szCs w:val="22"/>
        </w:rPr>
        <w:t>, outside</w:t>
      </w:r>
      <w:r w:rsidRPr="00D731AA">
        <w:rPr>
          <w:rFonts w:ascii="Arial" w:hAnsi="Arial" w:cs="Arial"/>
          <w:sz w:val="22"/>
          <w:szCs w:val="22"/>
        </w:rPr>
        <w:t xml:space="preserve"> consultants, </w:t>
      </w:r>
      <w:r w:rsidR="00C234D1" w:rsidRPr="00D731AA">
        <w:rPr>
          <w:rFonts w:ascii="Arial" w:hAnsi="Arial" w:cs="Arial"/>
          <w:sz w:val="22"/>
          <w:szCs w:val="22"/>
        </w:rPr>
        <w:t xml:space="preserve">data processing service providers </w:t>
      </w:r>
      <w:r w:rsidRPr="00D731AA">
        <w:rPr>
          <w:rFonts w:ascii="Arial" w:hAnsi="Arial" w:cs="Arial"/>
          <w:sz w:val="22"/>
          <w:szCs w:val="22"/>
        </w:rPr>
        <w:t xml:space="preserve">and </w:t>
      </w:r>
      <w:r w:rsidR="00C234D1" w:rsidRPr="00D731AA">
        <w:rPr>
          <w:rFonts w:ascii="Arial" w:hAnsi="Arial" w:cs="Arial"/>
          <w:sz w:val="22"/>
          <w:szCs w:val="22"/>
        </w:rPr>
        <w:t xml:space="preserve">vendors who provide </w:t>
      </w:r>
      <w:r w:rsidRPr="00D731AA">
        <w:rPr>
          <w:rFonts w:ascii="Arial" w:hAnsi="Arial" w:cs="Arial"/>
          <w:sz w:val="22"/>
          <w:szCs w:val="22"/>
        </w:rPr>
        <w:t xml:space="preserve">customer information and transaction processing </w:t>
      </w:r>
      <w:r w:rsidR="00C234D1" w:rsidRPr="00D731AA">
        <w:rPr>
          <w:rFonts w:ascii="Arial" w:hAnsi="Arial" w:cs="Arial"/>
          <w:sz w:val="22"/>
          <w:szCs w:val="22"/>
        </w:rPr>
        <w:t xml:space="preserve">support </w:t>
      </w:r>
      <w:r w:rsidRPr="00D731AA">
        <w:rPr>
          <w:rFonts w:ascii="Arial" w:hAnsi="Arial" w:cs="Arial"/>
          <w:sz w:val="22"/>
          <w:szCs w:val="22"/>
        </w:rPr>
        <w:t>services</w:t>
      </w:r>
      <w:r w:rsidR="000667FD">
        <w:rPr>
          <w:rFonts w:ascii="Arial" w:hAnsi="Arial" w:cs="Arial"/>
          <w:sz w:val="22"/>
          <w:szCs w:val="22"/>
        </w:rPr>
        <w:t xml:space="preserve"> as well as support to B</w:t>
      </w:r>
      <w:r w:rsidR="00C234D1" w:rsidRPr="00D731AA">
        <w:rPr>
          <w:rFonts w:ascii="Arial" w:hAnsi="Arial" w:cs="Arial"/>
          <w:sz w:val="22"/>
          <w:szCs w:val="22"/>
        </w:rPr>
        <w:t>ank equipment and facilities</w:t>
      </w:r>
      <w:r w:rsidRPr="00D731AA">
        <w:rPr>
          <w:rFonts w:ascii="Arial" w:hAnsi="Arial" w:cs="Arial"/>
          <w:sz w:val="22"/>
          <w:szCs w:val="22"/>
        </w:rPr>
        <w:t>.  Acquiring such services involves risks similar to th</w:t>
      </w:r>
      <w:r w:rsidR="008F2A00" w:rsidRPr="00D731AA">
        <w:rPr>
          <w:rFonts w:ascii="Arial" w:hAnsi="Arial" w:cs="Arial"/>
          <w:sz w:val="22"/>
          <w:szCs w:val="22"/>
        </w:rPr>
        <w:t xml:space="preserve">e risks encountered </w:t>
      </w:r>
      <w:r w:rsidRPr="00D731AA">
        <w:rPr>
          <w:rFonts w:ascii="Arial" w:hAnsi="Arial" w:cs="Arial"/>
          <w:sz w:val="22"/>
          <w:szCs w:val="22"/>
        </w:rPr>
        <w:t xml:space="preserve">when these functions are performed internally by </w:t>
      </w:r>
      <w:r w:rsidR="000667FD">
        <w:rPr>
          <w:rFonts w:ascii="Arial" w:hAnsi="Arial" w:cs="Arial"/>
          <w:sz w:val="22"/>
          <w:szCs w:val="22"/>
        </w:rPr>
        <w:t>B</w:t>
      </w:r>
      <w:r w:rsidRPr="00D731AA">
        <w:rPr>
          <w:rFonts w:ascii="Arial" w:hAnsi="Arial" w:cs="Arial"/>
          <w:sz w:val="22"/>
          <w:szCs w:val="22"/>
        </w:rPr>
        <w:t xml:space="preserve">ank personnel. </w:t>
      </w:r>
      <w:r w:rsidR="000667FD">
        <w:rPr>
          <w:rFonts w:ascii="Arial" w:hAnsi="Arial" w:cs="Arial"/>
          <w:sz w:val="22"/>
          <w:szCs w:val="22"/>
        </w:rPr>
        <w:t xml:space="preserve"> </w:t>
      </w:r>
      <w:r w:rsidRPr="00D731AA">
        <w:rPr>
          <w:rFonts w:ascii="Arial" w:hAnsi="Arial" w:cs="Arial"/>
          <w:sz w:val="22"/>
          <w:szCs w:val="22"/>
        </w:rPr>
        <w:t>Included are such risks as: threats to the availability of systems used to support customer transaction</w:t>
      </w:r>
      <w:r w:rsidR="00C234D1" w:rsidRPr="00D731AA">
        <w:rPr>
          <w:rFonts w:ascii="Arial" w:hAnsi="Arial" w:cs="Arial"/>
          <w:sz w:val="22"/>
          <w:szCs w:val="22"/>
        </w:rPr>
        <w:t xml:space="preserve"> processing</w:t>
      </w:r>
      <w:r w:rsidRPr="00D731AA">
        <w:rPr>
          <w:rFonts w:ascii="Arial" w:hAnsi="Arial" w:cs="Arial"/>
          <w:sz w:val="22"/>
          <w:szCs w:val="22"/>
        </w:rPr>
        <w:t xml:space="preserve">, threats to the security of </w:t>
      </w:r>
      <w:r w:rsidR="00C234D1" w:rsidRPr="00D731AA">
        <w:rPr>
          <w:rFonts w:ascii="Arial" w:hAnsi="Arial" w:cs="Arial"/>
          <w:sz w:val="22"/>
          <w:szCs w:val="22"/>
        </w:rPr>
        <w:t xml:space="preserve">bank </w:t>
      </w:r>
      <w:r w:rsidRPr="00D731AA">
        <w:rPr>
          <w:rFonts w:ascii="Arial" w:hAnsi="Arial" w:cs="Arial"/>
          <w:sz w:val="22"/>
          <w:szCs w:val="22"/>
        </w:rPr>
        <w:t xml:space="preserve">customers’ personal information and threats to </w:t>
      </w:r>
      <w:r w:rsidR="00C234D1" w:rsidRPr="00D731AA">
        <w:rPr>
          <w:rFonts w:ascii="Arial" w:hAnsi="Arial" w:cs="Arial"/>
          <w:sz w:val="22"/>
          <w:szCs w:val="22"/>
        </w:rPr>
        <w:t xml:space="preserve">our ongoing effort to maintain </w:t>
      </w:r>
      <w:r w:rsidRPr="00D731AA">
        <w:rPr>
          <w:rFonts w:ascii="Arial" w:hAnsi="Arial" w:cs="Arial"/>
          <w:sz w:val="22"/>
          <w:szCs w:val="22"/>
        </w:rPr>
        <w:t xml:space="preserve">compliance with </w:t>
      </w:r>
      <w:r w:rsidR="00C234D1" w:rsidRPr="00D731AA">
        <w:rPr>
          <w:rFonts w:ascii="Arial" w:hAnsi="Arial" w:cs="Arial"/>
          <w:sz w:val="22"/>
          <w:szCs w:val="22"/>
        </w:rPr>
        <w:t xml:space="preserve">all </w:t>
      </w:r>
      <w:r w:rsidRPr="00D731AA">
        <w:rPr>
          <w:rFonts w:ascii="Arial" w:hAnsi="Arial" w:cs="Arial"/>
          <w:sz w:val="22"/>
          <w:szCs w:val="22"/>
        </w:rPr>
        <w:t>banking regulations.</w:t>
      </w:r>
    </w:p>
    <w:p w14:paraId="11E97EFC" w14:textId="77777777" w:rsidR="00A17A28" w:rsidRPr="00353CC4" w:rsidRDefault="00A17A28" w:rsidP="00896D13">
      <w:pPr>
        <w:rPr>
          <w:rFonts w:ascii="Arial" w:hAnsi="Arial" w:cs="Arial"/>
          <w:sz w:val="16"/>
          <w:szCs w:val="16"/>
        </w:rPr>
      </w:pPr>
    </w:p>
    <w:p w14:paraId="45B93DEC" w14:textId="77777777" w:rsidR="00A17A28" w:rsidRPr="00D731AA" w:rsidRDefault="00A17A28" w:rsidP="00440965">
      <w:pPr>
        <w:ind w:right="-126"/>
        <w:rPr>
          <w:rFonts w:ascii="Arial" w:hAnsi="Arial" w:cs="Arial"/>
          <w:sz w:val="22"/>
          <w:szCs w:val="22"/>
        </w:rPr>
      </w:pPr>
      <w:r w:rsidRPr="00884BB9">
        <w:rPr>
          <w:rFonts w:ascii="Arial" w:hAnsi="Arial" w:cs="Arial"/>
          <w:sz w:val="22"/>
          <w:szCs w:val="22"/>
        </w:rPr>
        <w:t xml:space="preserve">Under </w:t>
      </w:r>
      <w:r w:rsidR="008F2A00" w:rsidRPr="00884BB9">
        <w:rPr>
          <w:rFonts w:ascii="Arial" w:hAnsi="Arial" w:cs="Arial"/>
          <w:sz w:val="22"/>
          <w:szCs w:val="22"/>
        </w:rPr>
        <w:t xml:space="preserve">third-party </w:t>
      </w:r>
      <w:r w:rsidRPr="00884BB9">
        <w:rPr>
          <w:rFonts w:ascii="Arial" w:hAnsi="Arial" w:cs="Arial"/>
          <w:sz w:val="22"/>
          <w:szCs w:val="22"/>
        </w:rPr>
        <w:t xml:space="preserve">contract arrangements, </w:t>
      </w:r>
      <w:r w:rsidR="008F2A00" w:rsidRPr="00884BB9">
        <w:rPr>
          <w:rFonts w:ascii="Arial" w:hAnsi="Arial" w:cs="Arial"/>
          <w:sz w:val="22"/>
          <w:szCs w:val="22"/>
        </w:rPr>
        <w:t>r</w:t>
      </w:r>
      <w:r w:rsidRPr="00884BB9">
        <w:rPr>
          <w:rFonts w:ascii="Arial" w:hAnsi="Arial" w:cs="Arial"/>
          <w:sz w:val="22"/>
          <w:szCs w:val="22"/>
        </w:rPr>
        <w:t xml:space="preserve">isk management measures commonly </w:t>
      </w:r>
      <w:r w:rsidR="00D0747D" w:rsidRPr="00884BB9">
        <w:rPr>
          <w:rFonts w:ascii="Arial" w:hAnsi="Arial" w:cs="Arial"/>
          <w:sz w:val="22"/>
          <w:szCs w:val="22"/>
        </w:rPr>
        <w:t>taken</w:t>
      </w:r>
      <w:r w:rsidRPr="00884BB9">
        <w:rPr>
          <w:rFonts w:ascii="Arial" w:hAnsi="Arial" w:cs="Arial"/>
          <w:sz w:val="22"/>
          <w:szCs w:val="22"/>
        </w:rPr>
        <w:t xml:space="preserve"> by </w:t>
      </w:r>
      <w:r w:rsidR="000667FD">
        <w:rPr>
          <w:rFonts w:ascii="Arial" w:hAnsi="Arial" w:cs="Arial"/>
          <w:sz w:val="22"/>
          <w:szCs w:val="22"/>
        </w:rPr>
        <w:t>the B</w:t>
      </w:r>
      <w:r w:rsidR="008F2A00" w:rsidRPr="00884BB9">
        <w:rPr>
          <w:rFonts w:ascii="Arial" w:hAnsi="Arial" w:cs="Arial"/>
          <w:sz w:val="22"/>
          <w:szCs w:val="22"/>
        </w:rPr>
        <w:t xml:space="preserve">ank </w:t>
      </w:r>
      <w:r w:rsidRPr="00884BB9">
        <w:rPr>
          <w:rFonts w:ascii="Arial" w:hAnsi="Arial" w:cs="Arial"/>
          <w:sz w:val="22"/>
          <w:szCs w:val="22"/>
        </w:rPr>
        <w:t>generally</w:t>
      </w:r>
      <w:r w:rsidR="00D0747D" w:rsidRPr="00884BB9">
        <w:rPr>
          <w:rFonts w:ascii="Arial" w:hAnsi="Arial" w:cs="Arial"/>
          <w:sz w:val="22"/>
          <w:szCs w:val="22"/>
        </w:rPr>
        <w:t xml:space="preserve"> fall</w:t>
      </w:r>
      <w:r w:rsidRPr="00884BB9">
        <w:rPr>
          <w:rFonts w:ascii="Arial" w:hAnsi="Arial" w:cs="Arial"/>
          <w:sz w:val="22"/>
          <w:szCs w:val="22"/>
        </w:rPr>
        <w:t xml:space="preserve"> under the control of the vendor</w:t>
      </w:r>
      <w:r w:rsidR="00D0747D" w:rsidRPr="00884BB9">
        <w:rPr>
          <w:rFonts w:ascii="Arial" w:hAnsi="Arial" w:cs="Arial"/>
          <w:sz w:val="22"/>
          <w:szCs w:val="22"/>
        </w:rPr>
        <w:t>.</w:t>
      </w:r>
      <w:r w:rsidRPr="00884BB9">
        <w:rPr>
          <w:rFonts w:ascii="Arial" w:hAnsi="Arial" w:cs="Arial"/>
          <w:sz w:val="22"/>
          <w:szCs w:val="22"/>
        </w:rPr>
        <w:t xml:space="preserve"> </w:t>
      </w:r>
      <w:r w:rsidR="000667FD">
        <w:rPr>
          <w:rFonts w:ascii="Arial" w:hAnsi="Arial" w:cs="Arial"/>
          <w:sz w:val="22"/>
          <w:szCs w:val="22"/>
        </w:rPr>
        <w:t xml:space="preserve"> </w:t>
      </w:r>
      <w:r w:rsidR="00D0747D" w:rsidRPr="00884BB9">
        <w:rPr>
          <w:rFonts w:ascii="Arial" w:hAnsi="Arial" w:cs="Arial"/>
          <w:sz w:val="22"/>
          <w:szCs w:val="22"/>
        </w:rPr>
        <w:t>However, t</w:t>
      </w:r>
      <w:r w:rsidR="000667FD">
        <w:rPr>
          <w:rFonts w:ascii="Arial" w:hAnsi="Arial" w:cs="Arial"/>
          <w:sz w:val="22"/>
          <w:szCs w:val="22"/>
        </w:rPr>
        <w:t>he B</w:t>
      </w:r>
      <w:r w:rsidR="00C1157D" w:rsidRPr="00884BB9">
        <w:rPr>
          <w:rFonts w:ascii="Arial" w:hAnsi="Arial" w:cs="Arial"/>
          <w:sz w:val="22"/>
          <w:szCs w:val="22"/>
        </w:rPr>
        <w:t xml:space="preserve">ank is </w:t>
      </w:r>
      <w:r w:rsidR="00D0747D" w:rsidRPr="00884BB9">
        <w:rPr>
          <w:rFonts w:ascii="Arial" w:hAnsi="Arial" w:cs="Arial"/>
          <w:sz w:val="22"/>
          <w:szCs w:val="22"/>
        </w:rPr>
        <w:t xml:space="preserve">ultimately </w:t>
      </w:r>
      <w:r w:rsidR="00C1157D" w:rsidRPr="00884BB9">
        <w:rPr>
          <w:rFonts w:ascii="Arial" w:hAnsi="Arial" w:cs="Arial"/>
          <w:sz w:val="22"/>
          <w:szCs w:val="22"/>
        </w:rPr>
        <w:t>responsible for managing these risks</w:t>
      </w:r>
      <w:r w:rsidR="00D0747D" w:rsidRPr="00884BB9">
        <w:rPr>
          <w:rFonts w:ascii="Arial" w:hAnsi="Arial" w:cs="Arial"/>
          <w:sz w:val="22"/>
          <w:szCs w:val="22"/>
        </w:rPr>
        <w:t xml:space="preserve"> just </w:t>
      </w:r>
      <w:r w:rsidR="00C1157D" w:rsidRPr="00884BB9">
        <w:rPr>
          <w:rFonts w:ascii="Arial" w:hAnsi="Arial" w:cs="Arial"/>
          <w:sz w:val="22"/>
          <w:szCs w:val="22"/>
        </w:rPr>
        <w:t>as if the services were performed in</w:t>
      </w:r>
      <w:r w:rsidR="00D0747D" w:rsidRPr="00884BB9">
        <w:rPr>
          <w:rFonts w:ascii="Arial" w:hAnsi="Arial" w:cs="Arial"/>
          <w:sz w:val="22"/>
          <w:szCs w:val="22"/>
        </w:rPr>
        <w:t>ternally.  T</w:t>
      </w:r>
      <w:r w:rsidR="000667FD">
        <w:rPr>
          <w:rFonts w:ascii="Arial" w:hAnsi="Arial" w:cs="Arial"/>
          <w:sz w:val="22"/>
          <w:szCs w:val="22"/>
        </w:rPr>
        <w:t>he B</w:t>
      </w:r>
      <w:r w:rsidR="00C234D1" w:rsidRPr="00884BB9">
        <w:rPr>
          <w:rFonts w:ascii="Arial" w:hAnsi="Arial" w:cs="Arial"/>
          <w:sz w:val="22"/>
          <w:szCs w:val="22"/>
        </w:rPr>
        <w:t>ank</w:t>
      </w:r>
      <w:r w:rsidRPr="00884BB9">
        <w:rPr>
          <w:rFonts w:ascii="Arial" w:hAnsi="Arial" w:cs="Arial"/>
          <w:sz w:val="22"/>
          <w:szCs w:val="22"/>
        </w:rPr>
        <w:t xml:space="preserve"> </w:t>
      </w:r>
      <w:r w:rsidR="00D0747D" w:rsidRPr="00884BB9">
        <w:rPr>
          <w:rFonts w:ascii="Arial" w:hAnsi="Arial" w:cs="Arial"/>
          <w:sz w:val="22"/>
          <w:szCs w:val="22"/>
        </w:rPr>
        <w:t xml:space="preserve">could be exposed </w:t>
      </w:r>
      <w:r w:rsidRPr="00884BB9">
        <w:rPr>
          <w:rFonts w:ascii="Arial" w:hAnsi="Arial" w:cs="Arial"/>
          <w:sz w:val="22"/>
          <w:szCs w:val="22"/>
        </w:rPr>
        <w:t>to financial loss, reputation</w:t>
      </w:r>
      <w:r w:rsidR="00D0747D" w:rsidRPr="00884BB9">
        <w:rPr>
          <w:rFonts w:ascii="Arial" w:hAnsi="Arial" w:cs="Arial"/>
          <w:sz w:val="22"/>
          <w:szCs w:val="22"/>
        </w:rPr>
        <w:t>al</w:t>
      </w:r>
      <w:r w:rsidRPr="00884BB9">
        <w:rPr>
          <w:rFonts w:ascii="Arial" w:hAnsi="Arial" w:cs="Arial"/>
          <w:sz w:val="22"/>
          <w:szCs w:val="22"/>
        </w:rPr>
        <w:t xml:space="preserve"> </w:t>
      </w:r>
      <w:r w:rsidR="00D0747D" w:rsidRPr="00884BB9">
        <w:rPr>
          <w:rFonts w:ascii="Arial" w:hAnsi="Arial" w:cs="Arial"/>
          <w:sz w:val="22"/>
          <w:szCs w:val="22"/>
        </w:rPr>
        <w:t xml:space="preserve">damage </w:t>
      </w:r>
      <w:r w:rsidRPr="00884BB9">
        <w:rPr>
          <w:rFonts w:ascii="Arial" w:hAnsi="Arial" w:cs="Arial"/>
          <w:sz w:val="22"/>
          <w:szCs w:val="22"/>
        </w:rPr>
        <w:t>and other adverse consequences</w:t>
      </w:r>
      <w:r w:rsidR="00D0747D" w:rsidRPr="00884BB9">
        <w:rPr>
          <w:rFonts w:ascii="Arial" w:hAnsi="Arial" w:cs="Arial"/>
          <w:sz w:val="22"/>
          <w:szCs w:val="22"/>
        </w:rPr>
        <w:t>,</w:t>
      </w:r>
      <w:r w:rsidRPr="00884BB9">
        <w:rPr>
          <w:rFonts w:ascii="Arial" w:hAnsi="Arial" w:cs="Arial"/>
          <w:sz w:val="22"/>
          <w:szCs w:val="22"/>
        </w:rPr>
        <w:t xml:space="preserve"> </w:t>
      </w:r>
      <w:r w:rsidR="00C234D1" w:rsidRPr="00884BB9">
        <w:rPr>
          <w:rFonts w:ascii="Arial" w:hAnsi="Arial" w:cs="Arial"/>
          <w:sz w:val="22"/>
          <w:szCs w:val="22"/>
        </w:rPr>
        <w:t xml:space="preserve">either </w:t>
      </w:r>
      <w:r w:rsidRPr="00884BB9">
        <w:rPr>
          <w:rFonts w:ascii="Arial" w:hAnsi="Arial" w:cs="Arial"/>
          <w:sz w:val="22"/>
          <w:szCs w:val="22"/>
        </w:rPr>
        <w:t xml:space="preserve">from actions </w:t>
      </w:r>
      <w:r w:rsidR="00C234D1" w:rsidRPr="00884BB9">
        <w:rPr>
          <w:rFonts w:ascii="Arial" w:hAnsi="Arial" w:cs="Arial"/>
          <w:sz w:val="22"/>
          <w:szCs w:val="22"/>
        </w:rPr>
        <w:t xml:space="preserve">taken by </w:t>
      </w:r>
      <w:r w:rsidR="000667FD">
        <w:rPr>
          <w:rFonts w:ascii="Arial" w:hAnsi="Arial" w:cs="Arial"/>
          <w:sz w:val="22"/>
          <w:szCs w:val="22"/>
        </w:rPr>
        <w:t>a B</w:t>
      </w:r>
      <w:r w:rsidR="00F823C2" w:rsidRPr="00884BB9">
        <w:rPr>
          <w:rFonts w:ascii="Arial" w:hAnsi="Arial" w:cs="Arial"/>
          <w:sz w:val="22"/>
          <w:szCs w:val="22"/>
        </w:rPr>
        <w:t xml:space="preserve">ank </w:t>
      </w:r>
      <w:r w:rsidR="00C234D1" w:rsidRPr="00884BB9">
        <w:rPr>
          <w:rFonts w:ascii="Arial" w:hAnsi="Arial" w:cs="Arial"/>
          <w:sz w:val="22"/>
          <w:szCs w:val="22"/>
        </w:rPr>
        <w:t>v</w:t>
      </w:r>
      <w:r w:rsidRPr="00884BB9">
        <w:rPr>
          <w:rFonts w:ascii="Arial" w:hAnsi="Arial" w:cs="Arial"/>
          <w:sz w:val="22"/>
          <w:szCs w:val="22"/>
        </w:rPr>
        <w:t>endor</w:t>
      </w:r>
      <w:r w:rsidR="00D0747D" w:rsidRPr="00884BB9">
        <w:rPr>
          <w:rFonts w:ascii="Arial" w:hAnsi="Arial" w:cs="Arial"/>
          <w:sz w:val="22"/>
          <w:szCs w:val="22"/>
        </w:rPr>
        <w:t>,</w:t>
      </w:r>
      <w:r w:rsidRPr="00884BB9">
        <w:rPr>
          <w:rFonts w:ascii="Arial" w:hAnsi="Arial" w:cs="Arial"/>
          <w:sz w:val="22"/>
          <w:szCs w:val="22"/>
        </w:rPr>
        <w:t xml:space="preserve"> or </w:t>
      </w:r>
      <w:r w:rsidR="00F823C2" w:rsidRPr="00884BB9">
        <w:rPr>
          <w:rFonts w:ascii="Arial" w:hAnsi="Arial" w:cs="Arial"/>
          <w:sz w:val="22"/>
          <w:szCs w:val="22"/>
        </w:rPr>
        <w:t>as a result of the vendor’s</w:t>
      </w:r>
      <w:r w:rsidR="00D0747D" w:rsidRPr="00884BB9">
        <w:rPr>
          <w:rFonts w:ascii="Arial" w:hAnsi="Arial" w:cs="Arial"/>
          <w:sz w:val="22"/>
          <w:szCs w:val="22"/>
        </w:rPr>
        <w:t xml:space="preserve"> failure to adequately manage these risks.</w:t>
      </w:r>
      <w:r w:rsidR="00D0747D">
        <w:rPr>
          <w:rFonts w:ascii="Arial" w:hAnsi="Arial" w:cs="Arial"/>
          <w:color w:val="FF0000"/>
          <w:sz w:val="22"/>
          <w:szCs w:val="22"/>
        </w:rPr>
        <w:t xml:space="preserve"> </w:t>
      </w:r>
      <w:r w:rsidR="000667FD">
        <w:rPr>
          <w:rFonts w:ascii="Arial" w:hAnsi="Arial" w:cs="Arial"/>
          <w:color w:val="FF0000"/>
          <w:sz w:val="22"/>
          <w:szCs w:val="22"/>
        </w:rPr>
        <w:t xml:space="preserve"> </w:t>
      </w:r>
      <w:r w:rsidRPr="00D731AA">
        <w:rPr>
          <w:rFonts w:ascii="Arial" w:hAnsi="Arial" w:cs="Arial"/>
          <w:sz w:val="22"/>
          <w:szCs w:val="22"/>
        </w:rPr>
        <w:t xml:space="preserve">Consequently, it is incumbent upon </w:t>
      </w:r>
      <w:r w:rsidR="000667FD">
        <w:rPr>
          <w:rFonts w:ascii="Arial" w:hAnsi="Arial" w:cs="Arial"/>
          <w:sz w:val="22"/>
          <w:szCs w:val="22"/>
        </w:rPr>
        <w:t>the B</w:t>
      </w:r>
      <w:r w:rsidR="00F823C2" w:rsidRPr="00D731AA">
        <w:rPr>
          <w:rFonts w:ascii="Arial" w:hAnsi="Arial" w:cs="Arial"/>
          <w:sz w:val="22"/>
          <w:szCs w:val="22"/>
        </w:rPr>
        <w:t xml:space="preserve">ank </w:t>
      </w:r>
      <w:r w:rsidRPr="00D731AA">
        <w:rPr>
          <w:rFonts w:ascii="Arial" w:hAnsi="Arial" w:cs="Arial"/>
          <w:sz w:val="22"/>
          <w:szCs w:val="22"/>
        </w:rPr>
        <w:t xml:space="preserve">to: (1) </w:t>
      </w:r>
      <w:r w:rsidR="008F2A00" w:rsidRPr="00D731AA">
        <w:rPr>
          <w:rFonts w:ascii="Arial" w:hAnsi="Arial" w:cs="Arial"/>
          <w:sz w:val="22"/>
          <w:szCs w:val="22"/>
        </w:rPr>
        <w:t xml:space="preserve">manage and oversee </w:t>
      </w:r>
      <w:r w:rsidRPr="00D731AA">
        <w:rPr>
          <w:rFonts w:ascii="Arial" w:hAnsi="Arial" w:cs="Arial"/>
          <w:sz w:val="22"/>
          <w:szCs w:val="22"/>
        </w:rPr>
        <w:t xml:space="preserve">the </w:t>
      </w:r>
      <w:r w:rsidR="00F823C2" w:rsidRPr="00D731AA">
        <w:rPr>
          <w:rFonts w:ascii="Arial" w:hAnsi="Arial" w:cs="Arial"/>
          <w:sz w:val="22"/>
          <w:szCs w:val="22"/>
        </w:rPr>
        <w:t>v</w:t>
      </w:r>
      <w:r w:rsidRPr="00D731AA">
        <w:rPr>
          <w:rFonts w:ascii="Arial" w:hAnsi="Arial" w:cs="Arial"/>
          <w:sz w:val="22"/>
          <w:szCs w:val="22"/>
        </w:rPr>
        <w:t xml:space="preserve">endors’ </w:t>
      </w:r>
      <w:r w:rsidR="008F2A00" w:rsidRPr="00D731AA">
        <w:rPr>
          <w:rFonts w:ascii="Arial" w:hAnsi="Arial" w:cs="Arial"/>
          <w:sz w:val="22"/>
          <w:szCs w:val="22"/>
        </w:rPr>
        <w:t xml:space="preserve">performance and </w:t>
      </w:r>
      <w:r w:rsidRPr="00D731AA">
        <w:rPr>
          <w:rFonts w:ascii="Arial" w:hAnsi="Arial" w:cs="Arial"/>
          <w:sz w:val="22"/>
          <w:szCs w:val="22"/>
        </w:rPr>
        <w:t xml:space="preserve">ability to fulfill their contractual obligations and (2) prepare formal </w:t>
      </w:r>
      <w:r w:rsidR="008F2A00" w:rsidRPr="00D731AA">
        <w:rPr>
          <w:rFonts w:ascii="Arial" w:hAnsi="Arial" w:cs="Arial"/>
          <w:sz w:val="22"/>
          <w:szCs w:val="22"/>
        </w:rPr>
        <w:t xml:space="preserve">assessments </w:t>
      </w:r>
      <w:r w:rsidRPr="00D731AA">
        <w:rPr>
          <w:rFonts w:ascii="Arial" w:hAnsi="Arial" w:cs="Arial"/>
          <w:sz w:val="22"/>
          <w:szCs w:val="22"/>
        </w:rPr>
        <w:t xml:space="preserve">of </w:t>
      </w:r>
      <w:r w:rsidR="008F2A00" w:rsidRPr="00D731AA">
        <w:rPr>
          <w:rFonts w:ascii="Arial" w:hAnsi="Arial" w:cs="Arial"/>
          <w:sz w:val="22"/>
          <w:szCs w:val="22"/>
        </w:rPr>
        <w:t xml:space="preserve">the </w:t>
      </w:r>
      <w:r w:rsidRPr="00D731AA">
        <w:rPr>
          <w:rFonts w:ascii="Arial" w:hAnsi="Arial" w:cs="Arial"/>
          <w:sz w:val="22"/>
          <w:szCs w:val="22"/>
        </w:rPr>
        <w:t xml:space="preserve">risks associated with </w:t>
      </w:r>
      <w:r w:rsidR="006A1099" w:rsidRPr="00D731AA">
        <w:rPr>
          <w:rFonts w:ascii="Arial" w:hAnsi="Arial" w:cs="Arial"/>
          <w:sz w:val="22"/>
          <w:szCs w:val="22"/>
        </w:rPr>
        <w:t xml:space="preserve">placing reliance on a vendor to fulfill </w:t>
      </w:r>
      <w:r w:rsidR="007A72BC" w:rsidRPr="005B7191">
        <w:rPr>
          <w:rFonts w:ascii="Arial" w:hAnsi="Arial" w:cs="Arial"/>
          <w:sz w:val="22"/>
          <w:szCs w:val="22"/>
        </w:rPr>
        <w:t>critical</w:t>
      </w:r>
      <w:r w:rsidR="00550F75" w:rsidRPr="00D731AA">
        <w:rPr>
          <w:rFonts w:ascii="Arial" w:hAnsi="Arial" w:cs="Arial"/>
          <w:sz w:val="22"/>
          <w:szCs w:val="22"/>
        </w:rPr>
        <w:t xml:space="preserve"> </w:t>
      </w:r>
      <w:r w:rsidRPr="00D731AA">
        <w:rPr>
          <w:rFonts w:ascii="Arial" w:hAnsi="Arial" w:cs="Arial"/>
          <w:sz w:val="22"/>
          <w:szCs w:val="22"/>
        </w:rPr>
        <w:t>services</w:t>
      </w:r>
      <w:r w:rsidR="00F4599F">
        <w:rPr>
          <w:rFonts w:ascii="Arial" w:hAnsi="Arial" w:cs="Arial"/>
          <w:sz w:val="22"/>
          <w:szCs w:val="22"/>
        </w:rPr>
        <w:t>,</w:t>
      </w:r>
      <w:r w:rsidR="006A1099" w:rsidRPr="00D731AA">
        <w:rPr>
          <w:rFonts w:ascii="Arial" w:hAnsi="Arial" w:cs="Arial"/>
          <w:sz w:val="22"/>
          <w:szCs w:val="22"/>
        </w:rPr>
        <w:t xml:space="preserve"> such as </w:t>
      </w:r>
      <w:r w:rsidR="008F2A00" w:rsidRPr="00D731AA">
        <w:rPr>
          <w:rFonts w:ascii="Arial" w:hAnsi="Arial" w:cs="Arial"/>
          <w:sz w:val="22"/>
          <w:szCs w:val="22"/>
        </w:rPr>
        <w:t xml:space="preserve">data processing </w:t>
      </w:r>
      <w:r w:rsidR="006A1099" w:rsidRPr="00D731AA">
        <w:rPr>
          <w:rFonts w:ascii="Arial" w:hAnsi="Arial" w:cs="Arial"/>
          <w:sz w:val="22"/>
          <w:szCs w:val="22"/>
        </w:rPr>
        <w:t>or customer service support functions.</w:t>
      </w:r>
    </w:p>
    <w:p w14:paraId="6E895F4C" w14:textId="77777777" w:rsidR="00A17A28" w:rsidRPr="00353CC4" w:rsidRDefault="00A17A28" w:rsidP="00896D13">
      <w:pPr>
        <w:rPr>
          <w:rFonts w:ascii="Arial" w:hAnsi="Arial" w:cs="Arial"/>
          <w:sz w:val="22"/>
          <w:szCs w:val="22"/>
        </w:rPr>
      </w:pPr>
    </w:p>
    <w:p w14:paraId="2719DB46" w14:textId="77777777" w:rsidR="00A17A28" w:rsidRPr="00D731AA" w:rsidRDefault="00A17A28">
      <w:pPr>
        <w:pStyle w:val="Heading1"/>
        <w:rPr>
          <w:rFonts w:ascii="Arial" w:hAnsi="Arial" w:cs="Arial"/>
          <w:sz w:val="22"/>
          <w:szCs w:val="22"/>
        </w:rPr>
      </w:pPr>
      <w:r w:rsidRPr="00D731AA">
        <w:rPr>
          <w:rFonts w:ascii="Arial" w:hAnsi="Arial" w:cs="Arial"/>
          <w:sz w:val="22"/>
          <w:szCs w:val="22"/>
        </w:rPr>
        <w:t>Purpose</w:t>
      </w:r>
    </w:p>
    <w:p w14:paraId="25FDDF3A" w14:textId="77777777" w:rsidR="00A17A28" w:rsidRPr="00440965" w:rsidRDefault="00A17A28">
      <w:pPr>
        <w:rPr>
          <w:rFonts w:ascii="Arial" w:hAnsi="Arial" w:cs="Arial"/>
          <w:sz w:val="16"/>
          <w:szCs w:val="16"/>
        </w:rPr>
      </w:pPr>
    </w:p>
    <w:p w14:paraId="176982E6" w14:textId="19E187CB" w:rsidR="00A17A28" w:rsidRPr="00D731AA" w:rsidRDefault="000E40DB" w:rsidP="00D4702D">
      <w:pPr>
        <w:ind w:right="-126"/>
        <w:rPr>
          <w:rFonts w:ascii="Arial" w:hAnsi="Arial" w:cs="Arial"/>
          <w:sz w:val="22"/>
          <w:szCs w:val="22"/>
        </w:rPr>
      </w:pPr>
      <w:r>
        <w:rPr>
          <w:rFonts w:ascii="Arial" w:hAnsi="Arial" w:cs="Arial"/>
          <w:sz w:val="22"/>
          <w:szCs w:val="22"/>
        </w:rPr>
        <w:t>&lt;NAME&gt;</w:t>
      </w:r>
      <w:r w:rsidRPr="00D731AA">
        <w:rPr>
          <w:rFonts w:ascii="Arial" w:hAnsi="Arial" w:cs="Arial"/>
          <w:sz w:val="22"/>
          <w:szCs w:val="22"/>
        </w:rPr>
        <w:t xml:space="preserve"> </w:t>
      </w:r>
      <w:r w:rsidR="00A17A28" w:rsidRPr="000D3C18">
        <w:rPr>
          <w:rFonts w:ascii="Arial" w:hAnsi="Arial" w:cs="Arial"/>
          <w:sz w:val="22"/>
          <w:szCs w:val="22"/>
        </w:rPr>
        <w:t xml:space="preserve">relies on </w:t>
      </w:r>
      <w:r w:rsidR="00284231" w:rsidRPr="000D3C18">
        <w:rPr>
          <w:rFonts w:ascii="Arial" w:hAnsi="Arial" w:cs="Arial"/>
          <w:sz w:val="22"/>
          <w:szCs w:val="22"/>
        </w:rPr>
        <w:t xml:space="preserve">third party vendors to provide a variety of products and services, including </w:t>
      </w:r>
      <w:r w:rsidR="00A17A28" w:rsidRPr="000D3C18">
        <w:rPr>
          <w:rFonts w:ascii="Arial" w:hAnsi="Arial" w:cs="Arial"/>
          <w:sz w:val="22"/>
          <w:szCs w:val="22"/>
        </w:rPr>
        <w:t>hardware</w:t>
      </w:r>
      <w:r w:rsidR="00E16BFB">
        <w:rPr>
          <w:rFonts w:ascii="Arial" w:hAnsi="Arial" w:cs="Arial"/>
          <w:sz w:val="22"/>
          <w:szCs w:val="22"/>
        </w:rPr>
        <w:t xml:space="preserve">/ </w:t>
      </w:r>
      <w:r w:rsidR="00A17A28" w:rsidRPr="000D3C18">
        <w:rPr>
          <w:rFonts w:ascii="Arial" w:hAnsi="Arial" w:cs="Arial"/>
          <w:sz w:val="22"/>
          <w:szCs w:val="22"/>
        </w:rPr>
        <w:t>software</w:t>
      </w:r>
      <w:r w:rsidR="00284231" w:rsidRPr="000D3C18">
        <w:rPr>
          <w:rFonts w:ascii="Arial" w:hAnsi="Arial" w:cs="Arial"/>
          <w:sz w:val="22"/>
          <w:szCs w:val="22"/>
        </w:rPr>
        <w:t>,</w:t>
      </w:r>
      <w:r w:rsidR="00A17A28" w:rsidRPr="000D3C18">
        <w:rPr>
          <w:rFonts w:ascii="Arial" w:hAnsi="Arial" w:cs="Arial"/>
          <w:sz w:val="22"/>
          <w:szCs w:val="22"/>
        </w:rPr>
        <w:t xml:space="preserve"> </w:t>
      </w:r>
      <w:r w:rsidR="00F823C2" w:rsidRPr="000D3C18">
        <w:rPr>
          <w:rFonts w:ascii="Arial" w:hAnsi="Arial" w:cs="Arial"/>
          <w:sz w:val="22"/>
          <w:szCs w:val="22"/>
        </w:rPr>
        <w:t>data processing</w:t>
      </w:r>
      <w:r w:rsidR="00284231" w:rsidRPr="000D3C18">
        <w:rPr>
          <w:rFonts w:ascii="Arial" w:hAnsi="Arial" w:cs="Arial"/>
          <w:sz w:val="22"/>
          <w:szCs w:val="22"/>
        </w:rPr>
        <w:t xml:space="preserve">, </w:t>
      </w:r>
      <w:r w:rsidR="00F823C2" w:rsidRPr="000D3C18">
        <w:rPr>
          <w:rFonts w:ascii="Arial" w:hAnsi="Arial" w:cs="Arial"/>
          <w:sz w:val="22"/>
          <w:szCs w:val="22"/>
        </w:rPr>
        <w:t>transaction processing</w:t>
      </w:r>
      <w:r w:rsidR="00284231" w:rsidRPr="000D3C18">
        <w:rPr>
          <w:rFonts w:ascii="Arial" w:hAnsi="Arial" w:cs="Arial"/>
          <w:sz w:val="22"/>
          <w:szCs w:val="22"/>
        </w:rPr>
        <w:t xml:space="preserve">, </w:t>
      </w:r>
      <w:r w:rsidR="00A17A28" w:rsidRPr="000D3C18">
        <w:rPr>
          <w:rFonts w:ascii="Arial" w:hAnsi="Arial" w:cs="Arial"/>
          <w:sz w:val="22"/>
          <w:szCs w:val="22"/>
        </w:rPr>
        <w:t>marketing</w:t>
      </w:r>
      <w:r w:rsidR="00284231" w:rsidRPr="000D3C18">
        <w:rPr>
          <w:rFonts w:ascii="Arial" w:hAnsi="Arial" w:cs="Arial"/>
          <w:sz w:val="22"/>
          <w:szCs w:val="22"/>
        </w:rPr>
        <w:t xml:space="preserve">, </w:t>
      </w:r>
      <w:r w:rsidR="00A17A28" w:rsidRPr="000D3C18">
        <w:rPr>
          <w:rFonts w:ascii="Arial" w:hAnsi="Arial" w:cs="Arial"/>
          <w:sz w:val="22"/>
          <w:szCs w:val="22"/>
        </w:rPr>
        <w:t>technology and telecommunication</w:t>
      </w:r>
      <w:r w:rsidR="00284231" w:rsidRPr="000D3C18">
        <w:rPr>
          <w:rFonts w:ascii="Arial" w:hAnsi="Arial" w:cs="Arial"/>
          <w:sz w:val="22"/>
          <w:szCs w:val="22"/>
        </w:rPr>
        <w:t xml:space="preserve">, as well as </w:t>
      </w:r>
      <w:r w:rsidR="00F823C2" w:rsidRPr="000D3C18">
        <w:rPr>
          <w:rFonts w:ascii="Arial" w:hAnsi="Arial" w:cs="Arial"/>
          <w:sz w:val="22"/>
          <w:szCs w:val="22"/>
        </w:rPr>
        <w:t xml:space="preserve">outside </w:t>
      </w:r>
      <w:r w:rsidR="00A17A28" w:rsidRPr="000D3C18">
        <w:rPr>
          <w:rFonts w:ascii="Arial" w:hAnsi="Arial" w:cs="Arial"/>
          <w:sz w:val="22"/>
          <w:szCs w:val="22"/>
        </w:rPr>
        <w:t>support consultants</w:t>
      </w:r>
      <w:r w:rsidR="00284231" w:rsidRPr="000D3C18">
        <w:rPr>
          <w:rFonts w:ascii="Arial" w:hAnsi="Arial" w:cs="Arial"/>
          <w:sz w:val="22"/>
          <w:szCs w:val="22"/>
        </w:rPr>
        <w:t>.</w:t>
      </w:r>
      <w:r w:rsidR="00284231">
        <w:rPr>
          <w:rFonts w:ascii="Arial" w:hAnsi="Arial" w:cs="Arial"/>
          <w:color w:val="002060"/>
          <w:sz w:val="22"/>
          <w:szCs w:val="22"/>
        </w:rPr>
        <w:t xml:space="preserve">  </w:t>
      </w:r>
      <w:r w:rsidR="00A17A28" w:rsidRPr="00D731AA">
        <w:rPr>
          <w:rFonts w:ascii="Arial" w:hAnsi="Arial" w:cs="Arial"/>
          <w:sz w:val="22"/>
          <w:szCs w:val="22"/>
        </w:rPr>
        <w:t xml:space="preserve">A list of vendors </w:t>
      </w:r>
      <w:r w:rsidR="009D2C90" w:rsidRPr="00D731AA">
        <w:rPr>
          <w:rFonts w:ascii="Arial" w:hAnsi="Arial" w:cs="Arial"/>
          <w:sz w:val="22"/>
          <w:szCs w:val="22"/>
        </w:rPr>
        <w:t xml:space="preserve">classified as </w:t>
      </w:r>
      <w:r w:rsidR="007A72BC" w:rsidRPr="005B7191">
        <w:rPr>
          <w:rFonts w:ascii="Arial" w:hAnsi="Arial" w:cs="Arial"/>
          <w:sz w:val="22"/>
          <w:szCs w:val="22"/>
        </w:rPr>
        <w:t>critical</w:t>
      </w:r>
      <w:r w:rsidR="009D2C90" w:rsidRPr="005B7191">
        <w:rPr>
          <w:rFonts w:ascii="Arial" w:hAnsi="Arial" w:cs="Arial"/>
          <w:sz w:val="22"/>
          <w:szCs w:val="22"/>
        </w:rPr>
        <w:t xml:space="preserve"> </w:t>
      </w:r>
      <w:r w:rsidR="00A17A28" w:rsidRPr="00D731AA">
        <w:rPr>
          <w:rFonts w:ascii="Arial" w:hAnsi="Arial" w:cs="Arial"/>
          <w:sz w:val="22"/>
          <w:szCs w:val="22"/>
        </w:rPr>
        <w:t xml:space="preserve">is included as Appendix A </w:t>
      </w:r>
      <w:r w:rsidR="00284231">
        <w:rPr>
          <w:rFonts w:ascii="Arial" w:hAnsi="Arial" w:cs="Arial"/>
          <w:sz w:val="22"/>
          <w:szCs w:val="22"/>
        </w:rPr>
        <w:t>of this p</w:t>
      </w:r>
      <w:r w:rsidR="00A17A28" w:rsidRPr="00D731AA">
        <w:rPr>
          <w:rFonts w:ascii="Arial" w:hAnsi="Arial" w:cs="Arial"/>
          <w:sz w:val="22"/>
          <w:szCs w:val="22"/>
        </w:rPr>
        <w:t>olicy statement.</w:t>
      </w:r>
    </w:p>
    <w:p w14:paraId="45CF6854" w14:textId="77777777" w:rsidR="00A17A28" w:rsidRPr="00353CC4" w:rsidRDefault="00A17A28" w:rsidP="00F823C2">
      <w:pPr>
        <w:jc w:val="both"/>
        <w:rPr>
          <w:rFonts w:ascii="Arial" w:hAnsi="Arial" w:cs="Arial"/>
          <w:sz w:val="16"/>
          <w:szCs w:val="16"/>
        </w:rPr>
      </w:pPr>
    </w:p>
    <w:p w14:paraId="40E22FE3" w14:textId="77777777" w:rsidR="00A17A28" w:rsidRPr="00D731AA" w:rsidRDefault="009D2C90" w:rsidP="00440965">
      <w:pPr>
        <w:rPr>
          <w:rFonts w:ascii="Arial" w:hAnsi="Arial" w:cs="Arial"/>
          <w:sz w:val="22"/>
          <w:szCs w:val="22"/>
        </w:rPr>
      </w:pPr>
      <w:r w:rsidRPr="00D731AA">
        <w:rPr>
          <w:rFonts w:ascii="Arial" w:hAnsi="Arial" w:cs="Arial"/>
          <w:sz w:val="22"/>
          <w:szCs w:val="22"/>
        </w:rPr>
        <w:t xml:space="preserve">The </w:t>
      </w:r>
      <w:r w:rsidR="00A17A28" w:rsidRPr="00D731AA">
        <w:rPr>
          <w:rFonts w:ascii="Arial" w:hAnsi="Arial" w:cs="Arial"/>
          <w:sz w:val="22"/>
          <w:szCs w:val="22"/>
        </w:rPr>
        <w:t xml:space="preserve">Board of Directors and Management </w:t>
      </w:r>
      <w:r w:rsidR="00F823C2" w:rsidRPr="00D731AA">
        <w:rPr>
          <w:rFonts w:ascii="Arial" w:hAnsi="Arial" w:cs="Arial"/>
          <w:sz w:val="22"/>
          <w:szCs w:val="22"/>
        </w:rPr>
        <w:t xml:space="preserve">of </w:t>
      </w:r>
      <w:r w:rsidR="009864D6">
        <w:rPr>
          <w:rFonts w:ascii="Arial" w:hAnsi="Arial" w:cs="Arial"/>
          <w:sz w:val="22"/>
          <w:szCs w:val="22"/>
        </w:rPr>
        <w:t>the</w:t>
      </w:r>
      <w:r w:rsidR="00F823C2" w:rsidRPr="005B7191">
        <w:rPr>
          <w:rFonts w:ascii="Arial" w:hAnsi="Arial" w:cs="Arial"/>
          <w:sz w:val="22"/>
          <w:szCs w:val="22"/>
        </w:rPr>
        <w:t xml:space="preserve"> Bank</w:t>
      </w:r>
      <w:r w:rsidR="00F823C2" w:rsidRPr="00D731AA">
        <w:rPr>
          <w:rFonts w:ascii="Arial" w:hAnsi="Arial" w:cs="Arial"/>
          <w:sz w:val="22"/>
          <w:szCs w:val="22"/>
        </w:rPr>
        <w:t xml:space="preserve"> </w:t>
      </w:r>
      <w:r w:rsidRPr="00D731AA">
        <w:rPr>
          <w:rFonts w:ascii="Arial" w:hAnsi="Arial" w:cs="Arial"/>
          <w:sz w:val="22"/>
          <w:szCs w:val="22"/>
        </w:rPr>
        <w:t xml:space="preserve">must </w:t>
      </w:r>
      <w:r w:rsidR="00A17A28" w:rsidRPr="00D731AA">
        <w:rPr>
          <w:rFonts w:ascii="Arial" w:hAnsi="Arial" w:cs="Arial"/>
          <w:sz w:val="22"/>
          <w:szCs w:val="22"/>
        </w:rPr>
        <w:t>ensure that:</w:t>
      </w:r>
      <w:r w:rsidR="00440965">
        <w:rPr>
          <w:rFonts w:ascii="Arial" w:hAnsi="Arial" w:cs="Arial"/>
          <w:sz w:val="22"/>
          <w:szCs w:val="22"/>
        </w:rPr>
        <w:t xml:space="preserve">  (</w:t>
      </w:r>
      <w:r w:rsidR="0075781F">
        <w:rPr>
          <w:rFonts w:ascii="Arial" w:hAnsi="Arial" w:cs="Arial"/>
          <w:sz w:val="22"/>
          <w:szCs w:val="22"/>
        </w:rPr>
        <w:t>1</w:t>
      </w:r>
      <w:r w:rsidR="00440965">
        <w:rPr>
          <w:rFonts w:ascii="Arial" w:hAnsi="Arial" w:cs="Arial"/>
          <w:sz w:val="22"/>
          <w:szCs w:val="22"/>
        </w:rPr>
        <w:t>)</w:t>
      </w:r>
      <w:r w:rsidR="009864D6">
        <w:rPr>
          <w:rFonts w:ascii="Arial" w:hAnsi="Arial" w:cs="Arial"/>
          <w:sz w:val="22"/>
          <w:szCs w:val="22"/>
        </w:rPr>
        <w:t xml:space="preserve"> </w:t>
      </w:r>
      <w:r w:rsidR="0075781F">
        <w:rPr>
          <w:rFonts w:ascii="Arial" w:hAnsi="Arial" w:cs="Arial"/>
          <w:sz w:val="22"/>
          <w:szCs w:val="22"/>
        </w:rPr>
        <w:t>T</w:t>
      </w:r>
      <w:r w:rsidR="00A17A28" w:rsidRPr="00D731AA">
        <w:rPr>
          <w:rFonts w:ascii="Arial" w:hAnsi="Arial" w:cs="Arial"/>
          <w:sz w:val="22"/>
          <w:szCs w:val="22"/>
        </w:rPr>
        <w:t xml:space="preserve">he risks associated with the use of </w:t>
      </w:r>
      <w:r w:rsidR="00F823C2" w:rsidRPr="00D731AA">
        <w:rPr>
          <w:rFonts w:ascii="Arial" w:hAnsi="Arial" w:cs="Arial"/>
          <w:sz w:val="22"/>
          <w:szCs w:val="22"/>
        </w:rPr>
        <w:t>v</w:t>
      </w:r>
      <w:r w:rsidR="00A17A28" w:rsidRPr="00D731AA">
        <w:rPr>
          <w:rFonts w:ascii="Arial" w:hAnsi="Arial" w:cs="Arial"/>
          <w:sz w:val="22"/>
          <w:szCs w:val="22"/>
        </w:rPr>
        <w:t xml:space="preserve">endors for the Bank’s </w:t>
      </w:r>
      <w:r w:rsidR="007A72BC" w:rsidRPr="005B7191">
        <w:rPr>
          <w:rFonts w:ascii="Arial" w:hAnsi="Arial" w:cs="Arial"/>
          <w:sz w:val="22"/>
          <w:szCs w:val="22"/>
        </w:rPr>
        <w:t>critical</w:t>
      </w:r>
      <w:r w:rsidR="00A17A28" w:rsidRPr="005B7191">
        <w:rPr>
          <w:rFonts w:ascii="Arial" w:hAnsi="Arial" w:cs="Arial"/>
          <w:sz w:val="22"/>
          <w:szCs w:val="22"/>
        </w:rPr>
        <w:t xml:space="preserve"> </w:t>
      </w:r>
      <w:r w:rsidR="00A17A28" w:rsidRPr="00D731AA">
        <w:rPr>
          <w:rFonts w:ascii="Arial" w:hAnsi="Arial" w:cs="Arial"/>
          <w:sz w:val="22"/>
          <w:szCs w:val="22"/>
        </w:rPr>
        <w:t>operations are fully understood</w:t>
      </w:r>
      <w:r w:rsidR="00F823C2" w:rsidRPr="00D731AA">
        <w:rPr>
          <w:rFonts w:ascii="Arial" w:hAnsi="Arial" w:cs="Arial"/>
          <w:sz w:val="22"/>
          <w:szCs w:val="22"/>
        </w:rPr>
        <w:t xml:space="preserve">, </w:t>
      </w:r>
      <w:r w:rsidR="00A17A28" w:rsidRPr="00D731AA">
        <w:rPr>
          <w:rFonts w:ascii="Arial" w:hAnsi="Arial" w:cs="Arial"/>
          <w:sz w:val="22"/>
          <w:szCs w:val="22"/>
        </w:rPr>
        <w:t xml:space="preserve">and </w:t>
      </w:r>
      <w:r w:rsidR="00440965">
        <w:rPr>
          <w:rFonts w:ascii="Arial" w:hAnsi="Arial" w:cs="Arial"/>
          <w:sz w:val="22"/>
          <w:szCs w:val="22"/>
        </w:rPr>
        <w:t>(</w:t>
      </w:r>
      <w:r w:rsidR="0075781F">
        <w:rPr>
          <w:rFonts w:ascii="Arial" w:hAnsi="Arial" w:cs="Arial"/>
          <w:sz w:val="22"/>
          <w:szCs w:val="22"/>
        </w:rPr>
        <w:t>2</w:t>
      </w:r>
      <w:r w:rsidR="00440965">
        <w:rPr>
          <w:rFonts w:ascii="Arial" w:hAnsi="Arial" w:cs="Arial"/>
          <w:sz w:val="22"/>
          <w:szCs w:val="22"/>
        </w:rPr>
        <w:t xml:space="preserve">) </w:t>
      </w:r>
      <w:r w:rsidR="0075781F">
        <w:rPr>
          <w:rFonts w:ascii="Arial" w:hAnsi="Arial" w:cs="Arial"/>
          <w:sz w:val="22"/>
          <w:szCs w:val="22"/>
        </w:rPr>
        <w:t>A</w:t>
      </w:r>
      <w:r w:rsidR="006A1099" w:rsidRPr="00D731AA">
        <w:rPr>
          <w:rFonts w:ascii="Arial" w:hAnsi="Arial" w:cs="Arial"/>
          <w:sz w:val="22"/>
          <w:szCs w:val="22"/>
        </w:rPr>
        <w:t xml:space="preserve"> process </w:t>
      </w:r>
      <w:r w:rsidR="00440965">
        <w:rPr>
          <w:rFonts w:ascii="Arial" w:hAnsi="Arial" w:cs="Arial"/>
          <w:sz w:val="22"/>
          <w:szCs w:val="22"/>
        </w:rPr>
        <w:t>is e</w:t>
      </w:r>
      <w:r w:rsidR="006A1099" w:rsidRPr="00D731AA">
        <w:rPr>
          <w:rFonts w:ascii="Arial" w:hAnsi="Arial" w:cs="Arial"/>
          <w:sz w:val="22"/>
          <w:szCs w:val="22"/>
        </w:rPr>
        <w:t xml:space="preserve">stablished </w:t>
      </w:r>
      <w:r w:rsidR="00A17A28" w:rsidRPr="00D731AA">
        <w:rPr>
          <w:rFonts w:ascii="Arial" w:hAnsi="Arial" w:cs="Arial"/>
          <w:sz w:val="22"/>
          <w:szCs w:val="22"/>
        </w:rPr>
        <w:t xml:space="preserve">to monitor </w:t>
      </w:r>
      <w:r w:rsidR="005F3D1B">
        <w:rPr>
          <w:rFonts w:ascii="Arial" w:hAnsi="Arial" w:cs="Arial"/>
          <w:sz w:val="22"/>
          <w:szCs w:val="22"/>
        </w:rPr>
        <w:t xml:space="preserve">each </w:t>
      </w:r>
      <w:r w:rsidR="002B56B9">
        <w:rPr>
          <w:rFonts w:ascii="Arial" w:hAnsi="Arial" w:cs="Arial"/>
          <w:sz w:val="22"/>
          <w:szCs w:val="22"/>
        </w:rPr>
        <w:t>v</w:t>
      </w:r>
      <w:r w:rsidR="00A17A28" w:rsidRPr="00D731AA">
        <w:rPr>
          <w:rFonts w:ascii="Arial" w:hAnsi="Arial" w:cs="Arial"/>
          <w:sz w:val="22"/>
          <w:szCs w:val="22"/>
        </w:rPr>
        <w:t xml:space="preserve">endor’s risk management controls, financial condition, and contractual performance. </w:t>
      </w:r>
    </w:p>
    <w:p w14:paraId="4053FB58" w14:textId="77777777" w:rsidR="005F3D1B" w:rsidRDefault="005F3D1B" w:rsidP="005F3D1B">
      <w:pPr>
        <w:pStyle w:val="BodyText2"/>
        <w:tabs>
          <w:tab w:val="left" w:pos="720"/>
        </w:tabs>
        <w:rPr>
          <w:rFonts w:ascii="Arial" w:hAnsi="Arial" w:cs="Arial"/>
          <w:b/>
          <w:sz w:val="22"/>
          <w:szCs w:val="22"/>
        </w:rPr>
      </w:pPr>
    </w:p>
    <w:p w14:paraId="70DE3DAD" w14:textId="77777777" w:rsidR="005F3D1B" w:rsidRPr="00C814EF" w:rsidRDefault="005F3D1B" w:rsidP="005F3D1B">
      <w:pPr>
        <w:pStyle w:val="BodyText2"/>
        <w:tabs>
          <w:tab w:val="left" w:pos="720"/>
        </w:tabs>
        <w:rPr>
          <w:rFonts w:ascii="Arial" w:hAnsi="Arial" w:cs="Arial"/>
          <w:b/>
          <w:sz w:val="22"/>
          <w:szCs w:val="22"/>
        </w:rPr>
      </w:pPr>
      <w:r w:rsidRPr="00C814EF">
        <w:rPr>
          <w:rFonts w:ascii="Arial" w:hAnsi="Arial" w:cs="Arial"/>
          <w:b/>
          <w:sz w:val="22"/>
          <w:szCs w:val="22"/>
        </w:rPr>
        <w:t>R</w:t>
      </w:r>
      <w:r w:rsidR="000141F6">
        <w:rPr>
          <w:rFonts w:ascii="Arial" w:hAnsi="Arial" w:cs="Arial"/>
          <w:b/>
          <w:sz w:val="22"/>
          <w:szCs w:val="22"/>
        </w:rPr>
        <w:t>esponsibilities</w:t>
      </w:r>
      <w:r w:rsidRPr="00C814EF">
        <w:rPr>
          <w:rFonts w:ascii="Arial" w:hAnsi="Arial" w:cs="Arial"/>
          <w:b/>
          <w:sz w:val="22"/>
          <w:szCs w:val="22"/>
        </w:rPr>
        <w:t xml:space="preserve"> </w:t>
      </w:r>
    </w:p>
    <w:p w14:paraId="18F10678" w14:textId="77777777" w:rsidR="005F3D1B" w:rsidRPr="0071411C" w:rsidRDefault="005F3D1B" w:rsidP="005F3D1B">
      <w:pPr>
        <w:pStyle w:val="BodyText2"/>
        <w:tabs>
          <w:tab w:val="left" w:pos="720"/>
        </w:tabs>
        <w:rPr>
          <w:rFonts w:ascii="Arial" w:hAnsi="Arial" w:cs="Arial"/>
          <w:color w:val="002060"/>
          <w:sz w:val="16"/>
          <w:szCs w:val="16"/>
        </w:rPr>
      </w:pPr>
    </w:p>
    <w:p w14:paraId="7191DD5E" w14:textId="77777777" w:rsidR="005F3D1B" w:rsidRPr="00716DD5" w:rsidRDefault="006F1C2B" w:rsidP="005F3D1B">
      <w:pPr>
        <w:pStyle w:val="BodyText2"/>
        <w:tabs>
          <w:tab w:val="left" w:pos="720"/>
        </w:tabs>
        <w:rPr>
          <w:rFonts w:ascii="Arial" w:hAnsi="Arial" w:cs="Arial"/>
          <w:sz w:val="22"/>
          <w:szCs w:val="22"/>
        </w:rPr>
      </w:pPr>
      <w:r w:rsidRPr="00716DD5">
        <w:rPr>
          <w:rFonts w:ascii="Arial" w:hAnsi="Arial" w:cs="Arial"/>
          <w:sz w:val="22"/>
          <w:szCs w:val="22"/>
        </w:rPr>
        <w:t>The B</w:t>
      </w:r>
      <w:r w:rsidR="005F3D1B" w:rsidRPr="00716DD5">
        <w:rPr>
          <w:rFonts w:ascii="Arial" w:hAnsi="Arial" w:cs="Arial"/>
          <w:sz w:val="22"/>
          <w:szCs w:val="22"/>
        </w:rPr>
        <w:t xml:space="preserve">ank’s Risk </w:t>
      </w:r>
      <w:r w:rsidRPr="00716DD5">
        <w:rPr>
          <w:rFonts w:ascii="Arial" w:hAnsi="Arial" w:cs="Arial"/>
          <w:sz w:val="22"/>
          <w:szCs w:val="22"/>
        </w:rPr>
        <w:t>Manager is responsible for the B</w:t>
      </w:r>
      <w:r w:rsidR="005F3D1B" w:rsidRPr="00716DD5">
        <w:rPr>
          <w:rFonts w:ascii="Arial" w:hAnsi="Arial" w:cs="Arial"/>
          <w:sz w:val="22"/>
          <w:szCs w:val="22"/>
        </w:rPr>
        <w:t>ank’s vendor management program, which includes:</w:t>
      </w:r>
    </w:p>
    <w:p w14:paraId="03E64CB3" w14:textId="77777777" w:rsidR="005F3D1B" w:rsidRPr="00716DD5" w:rsidRDefault="005F3D1B" w:rsidP="005F3D1B">
      <w:pPr>
        <w:pStyle w:val="BodyText2"/>
        <w:tabs>
          <w:tab w:val="left" w:pos="720"/>
        </w:tabs>
        <w:rPr>
          <w:rFonts w:ascii="Arial" w:hAnsi="Arial" w:cs="Arial"/>
          <w:sz w:val="16"/>
          <w:szCs w:val="16"/>
        </w:rPr>
      </w:pPr>
    </w:p>
    <w:p w14:paraId="351911B8" w14:textId="77777777" w:rsidR="005F3D1B" w:rsidRPr="00716DD5" w:rsidRDefault="005F3D1B" w:rsidP="007B4AC4">
      <w:pPr>
        <w:pStyle w:val="BodyText2"/>
        <w:numPr>
          <w:ilvl w:val="0"/>
          <w:numId w:val="18"/>
        </w:numPr>
        <w:tabs>
          <w:tab w:val="left" w:pos="900"/>
        </w:tabs>
        <w:spacing w:line="360" w:lineRule="auto"/>
        <w:ind w:left="900"/>
        <w:rPr>
          <w:rFonts w:ascii="Arial" w:hAnsi="Arial" w:cs="Arial"/>
          <w:sz w:val="22"/>
          <w:szCs w:val="22"/>
        </w:rPr>
      </w:pPr>
      <w:r w:rsidRPr="00716DD5">
        <w:rPr>
          <w:rFonts w:ascii="Arial" w:hAnsi="Arial" w:cs="Arial"/>
          <w:sz w:val="22"/>
          <w:szCs w:val="22"/>
        </w:rPr>
        <w:t xml:space="preserve">Updating the Vendor Management Policy as needed </w:t>
      </w:r>
    </w:p>
    <w:p w14:paraId="1DC99D82" w14:textId="77777777" w:rsidR="005F3D1B" w:rsidRPr="00716DD5" w:rsidRDefault="005F3D1B" w:rsidP="007B4AC4">
      <w:pPr>
        <w:pStyle w:val="BodyText2"/>
        <w:numPr>
          <w:ilvl w:val="0"/>
          <w:numId w:val="18"/>
        </w:numPr>
        <w:tabs>
          <w:tab w:val="left" w:pos="900"/>
        </w:tabs>
        <w:spacing w:line="360" w:lineRule="auto"/>
        <w:ind w:left="900"/>
        <w:rPr>
          <w:rFonts w:ascii="Arial" w:hAnsi="Arial" w:cs="Arial"/>
          <w:sz w:val="22"/>
          <w:szCs w:val="22"/>
        </w:rPr>
      </w:pPr>
      <w:r w:rsidRPr="00716DD5">
        <w:rPr>
          <w:rFonts w:ascii="Arial" w:hAnsi="Arial" w:cs="Arial"/>
          <w:sz w:val="22"/>
          <w:szCs w:val="22"/>
        </w:rPr>
        <w:t xml:space="preserve">Obtaining policy approval annually from the Board of Directors  </w:t>
      </w:r>
    </w:p>
    <w:p w14:paraId="5AAC39A6" w14:textId="77777777" w:rsidR="005F3D1B" w:rsidRPr="00716DD5" w:rsidRDefault="005F3D1B" w:rsidP="007B4AC4">
      <w:pPr>
        <w:pStyle w:val="BodyText2"/>
        <w:numPr>
          <w:ilvl w:val="0"/>
          <w:numId w:val="18"/>
        </w:numPr>
        <w:tabs>
          <w:tab w:val="left" w:pos="900"/>
        </w:tabs>
        <w:spacing w:line="360" w:lineRule="auto"/>
        <w:ind w:left="900"/>
        <w:rPr>
          <w:rFonts w:ascii="Arial" w:hAnsi="Arial" w:cs="Arial"/>
          <w:sz w:val="22"/>
          <w:szCs w:val="22"/>
        </w:rPr>
      </w:pPr>
      <w:r w:rsidRPr="00716DD5">
        <w:rPr>
          <w:rFonts w:ascii="Arial" w:hAnsi="Arial" w:cs="Arial"/>
          <w:sz w:val="22"/>
          <w:szCs w:val="22"/>
        </w:rPr>
        <w:t xml:space="preserve">Overseeing the critical vendor monitoring process </w:t>
      </w:r>
    </w:p>
    <w:p w14:paraId="1C2C82B4" w14:textId="77777777" w:rsidR="005F3D1B" w:rsidRPr="00716DD5" w:rsidRDefault="005F3D1B" w:rsidP="007B4AC4">
      <w:pPr>
        <w:pStyle w:val="BodyText2"/>
        <w:numPr>
          <w:ilvl w:val="0"/>
          <w:numId w:val="18"/>
        </w:numPr>
        <w:tabs>
          <w:tab w:val="left" w:pos="900"/>
        </w:tabs>
        <w:spacing w:line="360" w:lineRule="auto"/>
        <w:ind w:left="900"/>
        <w:rPr>
          <w:rFonts w:ascii="Arial" w:hAnsi="Arial" w:cs="Arial"/>
          <w:sz w:val="22"/>
          <w:szCs w:val="22"/>
        </w:rPr>
      </w:pPr>
      <w:r w:rsidRPr="00716DD5">
        <w:rPr>
          <w:rFonts w:ascii="Arial" w:hAnsi="Arial" w:cs="Arial"/>
          <w:sz w:val="22"/>
          <w:szCs w:val="22"/>
        </w:rPr>
        <w:t>Keeping the Board of Directors ab</w:t>
      </w:r>
      <w:r w:rsidR="006F1C2B" w:rsidRPr="00716DD5">
        <w:rPr>
          <w:rFonts w:ascii="Arial" w:hAnsi="Arial" w:cs="Arial"/>
          <w:sz w:val="22"/>
          <w:szCs w:val="22"/>
        </w:rPr>
        <w:t>reast of changes regarding the B</w:t>
      </w:r>
      <w:r w:rsidRPr="00716DD5">
        <w:rPr>
          <w:rFonts w:ascii="Arial" w:hAnsi="Arial" w:cs="Arial"/>
          <w:sz w:val="22"/>
          <w:szCs w:val="22"/>
        </w:rPr>
        <w:t>ank’s critical vendors</w:t>
      </w:r>
    </w:p>
    <w:p w14:paraId="729EEE5B" w14:textId="77777777" w:rsidR="005F3D1B" w:rsidRPr="00716DD5" w:rsidRDefault="005F3D1B" w:rsidP="007B4AC4">
      <w:pPr>
        <w:pStyle w:val="BodyText2"/>
        <w:numPr>
          <w:ilvl w:val="0"/>
          <w:numId w:val="18"/>
        </w:numPr>
        <w:tabs>
          <w:tab w:val="left" w:pos="900"/>
        </w:tabs>
        <w:spacing w:line="360" w:lineRule="auto"/>
        <w:ind w:left="900"/>
        <w:rPr>
          <w:rFonts w:ascii="Arial" w:hAnsi="Arial" w:cs="Arial"/>
          <w:sz w:val="22"/>
          <w:szCs w:val="22"/>
        </w:rPr>
      </w:pPr>
      <w:r w:rsidRPr="00716DD5">
        <w:rPr>
          <w:rFonts w:ascii="Arial" w:hAnsi="Arial" w:cs="Arial"/>
          <w:sz w:val="22"/>
          <w:szCs w:val="22"/>
        </w:rPr>
        <w:t xml:space="preserve">Reporting the results of the critical vendor risk assessments annually to the Board of Directors </w:t>
      </w:r>
    </w:p>
    <w:p w14:paraId="562B1763" w14:textId="77777777" w:rsidR="005F3D1B" w:rsidRPr="005F3D1B" w:rsidRDefault="005F3D1B" w:rsidP="005F3D1B">
      <w:pPr>
        <w:pStyle w:val="BodyText2"/>
        <w:ind w:right="18"/>
        <w:rPr>
          <w:rFonts w:ascii="Arial" w:hAnsi="Arial" w:cs="Arial"/>
          <w:b/>
          <w:color w:val="002060"/>
          <w:sz w:val="16"/>
          <w:szCs w:val="16"/>
        </w:rPr>
      </w:pPr>
    </w:p>
    <w:p w14:paraId="4E2D1465" w14:textId="77777777" w:rsidR="005F3D1B" w:rsidRPr="00716DD5" w:rsidRDefault="005F3D1B" w:rsidP="005F3D1B">
      <w:pPr>
        <w:pStyle w:val="BodyText2"/>
        <w:ind w:right="-90"/>
        <w:rPr>
          <w:rFonts w:ascii="Arial" w:hAnsi="Arial" w:cs="Arial"/>
          <w:sz w:val="22"/>
          <w:szCs w:val="22"/>
        </w:rPr>
      </w:pPr>
      <w:r w:rsidRPr="00716DD5">
        <w:rPr>
          <w:rFonts w:ascii="Arial" w:hAnsi="Arial" w:cs="Arial"/>
          <w:sz w:val="22"/>
          <w:szCs w:val="22"/>
        </w:rPr>
        <w:t>The Division Manager who has the primary responsibility for the service or product provided by a third-party service provider/vendor is responsible for managing that vendor relationship.  Their responsibility includes:</w:t>
      </w:r>
    </w:p>
    <w:p w14:paraId="327441F5" w14:textId="77777777" w:rsidR="005F3D1B" w:rsidRPr="00716DD5" w:rsidRDefault="005F3D1B" w:rsidP="005F3D1B">
      <w:pPr>
        <w:pStyle w:val="BodyText2"/>
        <w:ind w:right="-90"/>
        <w:rPr>
          <w:rFonts w:ascii="Arial" w:hAnsi="Arial" w:cs="Arial"/>
          <w:sz w:val="16"/>
          <w:szCs w:val="16"/>
        </w:rPr>
      </w:pPr>
    </w:p>
    <w:p w14:paraId="3113109F" w14:textId="77777777" w:rsidR="005F3D1B" w:rsidRPr="00716DD5" w:rsidRDefault="005F3D1B" w:rsidP="007B4AC4">
      <w:pPr>
        <w:pStyle w:val="BodyText2"/>
        <w:numPr>
          <w:ilvl w:val="0"/>
          <w:numId w:val="19"/>
        </w:numPr>
        <w:spacing w:line="360" w:lineRule="auto"/>
        <w:ind w:left="900" w:right="18"/>
        <w:rPr>
          <w:rFonts w:ascii="Arial" w:hAnsi="Arial" w:cs="Arial"/>
          <w:sz w:val="22"/>
          <w:szCs w:val="22"/>
        </w:rPr>
      </w:pPr>
      <w:r w:rsidRPr="00716DD5">
        <w:rPr>
          <w:rFonts w:ascii="Arial" w:hAnsi="Arial" w:cs="Arial"/>
          <w:sz w:val="22"/>
          <w:szCs w:val="22"/>
        </w:rPr>
        <w:t>Reviewing the criticality of the service</w:t>
      </w:r>
      <w:r w:rsidR="006F1C2B" w:rsidRPr="00716DD5">
        <w:rPr>
          <w:rFonts w:ascii="Arial" w:hAnsi="Arial" w:cs="Arial"/>
          <w:sz w:val="22"/>
          <w:szCs w:val="22"/>
        </w:rPr>
        <w:t>s and products provided to the B</w:t>
      </w:r>
      <w:r w:rsidRPr="00716DD5">
        <w:rPr>
          <w:rFonts w:ascii="Arial" w:hAnsi="Arial" w:cs="Arial"/>
          <w:sz w:val="22"/>
          <w:szCs w:val="22"/>
        </w:rPr>
        <w:t>ank by third-parties</w:t>
      </w:r>
    </w:p>
    <w:p w14:paraId="43717B94" w14:textId="77777777" w:rsidR="005F3D1B" w:rsidRPr="00716DD5" w:rsidRDefault="006F1C2B" w:rsidP="007B4AC4">
      <w:pPr>
        <w:pStyle w:val="BodyText2"/>
        <w:numPr>
          <w:ilvl w:val="0"/>
          <w:numId w:val="19"/>
        </w:numPr>
        <w:spacing w:line="360" w:lineRule="auto"/>
        <w:ind w:left="900" w:right="18"/>
        <w:rPr>
          <w:rFonts w:ascii="Arial" w:hAnsi="Arial" w:cs="Arial"/>
          <w:sz w:val="22"/>
          <w:szCs w:val="22"/>
        </w:rPr>
      </w:pPr>
      <w:r w:rsidRPr="00716DD5">
        <w:rPr>
          <w:rFonts w:ascii="Arial" w:hAnsi="Arial" w:cs="Arial"/>
          <w:sz w:val="22"/>
          <w:szCs w:val="22"/>
        </w:rPr>
        <w:t>Identifying the B</w:t>
      </w:r>
      <w:r w:rsidR="005F3D1B" w:rsidRPr="00716DD5">
        <w:rPr>
          <w:rFonts w:ascii="Arial" w:hAnsi="Arial" w:cs="Arial"/>
          <w:sz w:val="22"/>
          <w:szCs w:val="22"/>
        </w:rPr>
        <w:t>ank’s critical vendors</w:t>
      </w:r>
    </w:p>
    <w:p w14:paraId="739EB21B" w14:textId="77777777" w:rsidR="005F3D1B" w:rsidRPr="00716DD5" w:rsidRDefault="005F3D1B" w:rsidP="007B4AC4">
      <w:pPr>
        <w:pStyle w:val="BodyText2"/>
        <w:numPr>
          <w:ilvl w:val="0"/>
          <w:numId w:val="19"/>
        </w:numPr>
        <w:spacing w:line="360" w:lineRule="auto"/>
        <w:ind w:left="900" w:right="-90"/>
        <w:rPr>
          <w:rFonts w:ascii="Arial" w:hAnsi="Arial" w:cs="Arial"/>
          <w:sz w:val="22"/>
          <w:szCs w:val="22"/>
        </w:rPr>
      </w:pPr>
      <w:r w:rsidRPr="00716DD5">
        <w:rPr>
          <w:rFonts w:ascii="Arial" w:hAnsi="Arial" w:cs="Arial"/>
          <w:sz w:val="22"/>
          <w:szCs w:val="22"/>
        </w:rPr>
        <w:t>Evaluating the risks and exposures associated with the critical vendor relationship</w:t>
      </w:r>
    </w:p>
    <w:p w14:paraId="2A23B1BE" w14:textId="77777777" w:rsidR="005F3D1B" w:rsidRPr="00716DD5" w:rsidRDefault="005F3D1B" w:rsidP="007B4AC4">
      <w:pPr>
        <w:pStyle w:val="BodyText2"/>
        <w:numPr>
          <w:ilvl w:val="0"/>
          <w:numId w:val="19"/>
        </w:numPr>
        <w:spacing w:line="360" w:lineRule="auto"/>
        <w:ind w:left="900" w:right="-90"/>
        <w:rPr>
          <w:rFonts w:ascii="Arial" w:hAnsi="Arial" w:cs="Arial"/>
          <w:sz w:val="22"/>
          <w:szCs w:val="22"/>
        </w:rPr>
      </w:pPr>
      <w:r w:rsidRPr="00716DD5">
        <w:rPr>
          <w:rFonts w:ascii="Arial" w:hAnsi="Arial" w:cs="Arial"/>
          <w:sz w:val="22"/>
          <w:szCs w:val="22"/>
        </w:rPr>
        <w:t>Completing an annual Critical Vendor Risk Assessment, with the assistance of appropriate staff</w:t>
      </w:r>
    </w:p>
    <w:p w14:paraId="36668A49" w14:textId="77777777" w:rsidR="00FB1D9B" w:rsidRDefault="00A17A28" w:rsidP="00FB1D9B">
      <w:pPr>
        <w:pStyle w:val="Heading2"/>
        <w:jc w:val="both"/>
        <w:rPr>
          <w:rFonts w:ascii="Arial" w:hAnsi="Arial" w:cs="Arial"/>
          <w:sz w:val="22"/>
          <w:szCs w:val="22"/>
        </w:rPr>
      </w:pPr>
      <w:r w:rsidRPr="00D731AA">
        <w:rPr>
          <w:rFonts w:ascii="Arial" w:hAnsi="Arial" w:cs="Arial"/>
          <w:sz w:val="22"/>
          <w:szCs w:val="22"/>
        </w:rPr>
        <w:t>New Vendors and Contractual Relationships</w:t>
      </w:r>
    </w:p>
    <w:p w14:paraId="16D3D835" w14:textId="77777777" w:rsidR="00FB1D9B" w:rsidRPr="00DC1D7D" w:rsidRDefault="00FB1D9B" w:rsidP="00FB1D9B">
      <w:pPr>
        <w:pStyle w:val="Heading2"/>
        <w:jc w:val="both"/>
        <w:rPr>
          <w:rFonts w:ascii="Arial" w:hAnsi="Arial" w:cs="Arial"/>
          <w:b w:val="0"/>
          <w:sz w:val="16"/>
          <w:szCs w:val="16"/>
        </w:rPr>
      </w:pPr>
    </w:p>
    <w:p w14:paraId="581A19E2" w14:textId="77777777" w:rsidR="0096789B" w:rsidRPr="00FB1D9B" w:rsidRDefault="00A17A28" w:rsidP="00A561B3">
      <w:pPr>
        <w:pStyle w:val="Heading2"/>
        <w:ind w:right="-216"/>
        <w:rPr>
          <w:rFonts w:ascii="Arial" w:hAnsi="Arial" w:cs="Arial"/>
          <w:b w:val="0"/>
          <w:sz w:val="22"/>
          <w:szCs w:val="22"/>
        </w:rPr>
      </w:pPr>
      <w:r w:rsidRPr="00FB1D9B">
        <w:rPr>
          <w:rFonts w:ascii="Arial" w:hAnsi="Arial" w:cs="Arial"/>
          <w:b w:val="0"/>
          <w:sz w:val="22"/>
          <w:szCs w:val="22"/>
        </w:rPr>
        <w:t xml:space="preserve">The </w:t>
      </w:r>
      <w:r w:rsidR="009D2C90" w:rsidRPr="00FB1D9B">
        <w:rPr>
          <w:rFonts w:ascii="Arial" w:hAnsi="Arial" w:cs="Arial"/>
          <w:b w:val="0"/>
          <w:sz w:val="22"/>
          <w:szCs w:val="22"/>
        </w:rPr>
        <w:t xml:space="preserve">appropriate Division Manager who is the </w:t>
      </w:r>
      <w:r w:rsidR="0069763C">
        <w:rPr>
          <w:rFonts w:ascii="Arial" w:hAnsi="Arial" w:cs="Arial"/>
          <w:b w:val="0"/>
          <w:sz w:val="22"/>
          <w:szCs w:val="22"/>
        </w:rPr>
        <w:t>B</w:t>
      </w:r>
      <w:r w:rsidR="006A1099" w:rsidRPr="00FB1D9B">
        <w:rPr>
          <w:rFonts w:ascii="Arial" w:hAnsi="Arial" w:cs="Arial"/>
          <w:b w:val="0"/>
          <w:sz w:val="22"/>
          <w:szCs w:val="22"/>
        </w:rPr>
        <w:t xml:space="preserve">ank’s primary point of </w:t>
      </w:r>
      <w:r w:rsidR="009D2C90" w:rsidRPr="00FB1D9B">
        <w:rPr>
          <w:rFonts w:ascii="Arial" w:hAnsi="Arial" w:cs="Arial"/>
          <w:b w:val="0"/>
          <w:sz w:val="22"/>
          <w:szCs w:val="22"/>
        </w:rPr>
        <w:t xml:space="preserve">contact for a </w:t>
      </w:r>
      <w:r w:rsidR="007A72BC" w:rsidRPr="00FB1D9B">
        <w:rPr>
          <w:rFonts w:ascii="Arial" w:hAnsi="Arial" w:cs="Arial"/>
          <w:b w:val="0"/>
          <w:sz w:val="22"/>
          <w:szCs w:val="22"/>
        </w:rPr>
        <w:t>critical</w:t>
      </w:r>
      <w:r w:rsidR="009D2C90" w:rsidRPr="00FB1D9B">
        <w:rPr>
          <w:rFonts w:ascii="Arial" w:hAnsi="Arial" w:cs="Arial"/>
          <w:b w:val="0"/>
          <w:sz w:val="22"/>
          <w:szCs w:val="22"/>
        </w:rPr>
        <w:t xml:space="preserve"> vendor is responsible to </w:t>
      </w:r>
      <w:r w:rsidRPr="00FB1D9B">
        <w:rPr>
          <w:rFonts w:ascii="Arial" w:hAnsi="Arial" w:cs="Arial"/>
          <w:b w:val="0"/>
          <w:sz w:val="22"/>
          <w:szCs w:val="22"/>
        </w:rPr>
        <w:t>ensure th</w:t>
      </w:r>
      <w:r w:rsidR="006A1099" w:rsidRPr="00FB1D9B">
        <w:rPr>
          <w:rFonts w:ascii="Arial" w:hAnsi="Arial" w:cs="Arial"/>
          <w:b w:val="0"/>
          <w:sz w:val="22"/>
          <w:szCs w:val="22"/>
        </w:rPr>
        <w:t xml:space="preserve">e vendor </w:t>
      </w:r>
      <w:r w:rsidRPr="00FB1D9B">
        <w:rPr>
          <w:rFonts w:ascii="Arial" w:hAnsi="Arial" w:cs="Arial"/>
          <w:b w:val="0"/>
          <w:sz w:val="22"/>
          <w:szCs w:val="22"/>
        </w:rPr>
        <w:t xml:space="preserve">contract has been reviewed </w:t>
      </w:r>
      <w:r w:rsidR="006A1099" w:rsidRPr="00FB1D9B">
        <w:rPr>
          <w:rFonts w:ascii="Arial" w:hAnsi="Arial" w:cs="Arial"/>
          <w:b w:val="0"/>
          <w:sz w:val="22"/>
          <w:szCs w:val="22"/>
        </w:rPr>
        <w:t>(</w:t>
      </w:r>
      <w:r w:rsidRPr="00FB1D9B">
        <w:rPr>
          <w:rFonts w:ascii="Arial" w:hAnsi="Arial" w:cs="Arial"/>
          <w:b w:val="0"/>
          <w:sz w:val="22"/>
          <w:szCs w:val="22"/>
        </w:rPr>
        <w:t xml:space="preserve">by the </w:t>
      </w:r>
      <w:r w:rsidR="006A1099" w:rsidRPr="00FB1D9B">
        <w:rPr>
          <w:rFonts w:ascii="Arial" w:hAnsi="Arial" w:cs="Arial"/>
          <w:b w:val="0"/>
          <w:sz w:val="22"/>
          <w:szCs w:val="22"/>
        </w:rPr>
        <w:t xml:space="preserve">bank’s legal </w:t>
      </w:r>
      <w:r w:rsidRPr="00FB1D9B">
        <w:rPr>
          <w:rFonts w:ascii="Arial" w:hAnsi="Arial" w:cs="Arial"/>
          <w:b w:val="0"/>
          <w:sz w:val="22"/>
          <w:szCs w:val="22"/>
        </w:rPr>
        <w:t>counsel</w:t>
      </w:r>
      <w:r w:rsidR="00F823C2" w:rsidRPr="00FB1D9B">
        <w:rPr>
          <w:rFonts w:ascii="Arial" w:hAnsi="Arial" w:cs="Arial"/>
          <w:b w:val="0"/>
          <w:sz w:val="22"/>
          <w:szCs w:val="22"/>
        </w:rPr>
        <w:t xml:space="preserve"> when appropriate</w:t>
      </w:r>
      <w:r w:rsidR="006A1099" w:rsidRPr="00FB1D9B">
        <w:rPr>
          <w:rFonts w:ascii="Arial" w:hAnsi="Arial" w:cs="Arial"/>
          <w:b w:val="0"/>
          <w:sz w:val="22"/>
          <w:szCs w:val="22"/>
        </w:rPr>
        <w:t>)</w:t>
      </w:r>
      <w:r w:rsidRPr="00FB1D9B">
        <w:rPr>
          <w:rFonts w:ascii="Arial" w:hAnsi="Arial" w:cs="Arial"/>
          <w:b w:val="0"/>
          <w:sz w:val="22"/>
          <w:szCs w:val="22"/>
        </w:rPr>
        <w:t xml:space="preserve">, and that it includes, as required, appropriate non-disclosure agreements and statements of responsibility for the maintenance of </w:t>
      </w:r>
      <w:r w:rsidR="00F823C2" w:rsidRPr="00FB1D9B">
        <w:rPr>
          <w:rFonts w:ascii="Arial" w:hAnsi="Arial" w:cs="Arial"/>
          <w:b w:val="0"/>
          <w:sz w:val="22"/>
          <w:szCs w:val="22"/>
        </w:rPr>
        <w:t xml:space="preserve">the </w:t>
      </w:r>
      <w:r w:rsidRPr="00FB1D9B">
        <w:rPr>
          <w:rFonts w:ascii="Arial" w:hAnsi="Arial" w:cs="Arial"/>
          <w:b w:val="0"/>
          <w:sz w:val="22"/>
          <w:szCs w:val="22"/>
        </w:rPr>
        <w:t xml:space="preserve">security, accuracy and integrity of customers’ non-public, personal financial information. </w:t>
      </w:r>
    </w:p>
    <w:p w14:paraId="7C5FC884" w14:textId="77777777" w:rsidR="00A17A28" w:rsidRPr="00DC1D7D" w:rsidRDefault="00A17A28" w:rsidP="00431690">
      <w:pPr>
        <w:pStyle w:val="ListBullet"/>
        <w:numPr>
          <w:ilvl w:val="0"/>
          <w:numId w:val="0"/>
        </w:numPr>
        <w:ind w:left="1080"/>
        <w:rPr>
          <w:sz w:val="16"/>
          <w:szCs w:val="16"/>
        </w:rPr>
      </w:pPr>
      <w:r w:rsidRPr="00D731AA">
        <w:t xml:space="preserve"> </w:t>
      </w:r>
    </w:p>
    <w:p w14:paraId="019C72DB" w14:textId="77777777" w:rsidR="00DD2588" w:rsidRDefault="00A17A28" w:rsidP="00A561B3">
      <w:pPr>
        <w:rPr>
          <w:rFonts w:ascii="Arial" w:hAnsi="Arial" w:cs="Arial"/>
          <w:sz w:val="22"/>
          <w:szCs w:val="22"/>
        </w:rPr>
      </w:pPr>
      <w:r w:rsidRPr="00D731AA">
        <w:rPr>
          <w:rFonts w:ascii="Arial" w:hAnsi="Arial" w:cs="Arial"/>
          <w:sz w:val="22"/>
          <w:szCs w:val="22"/>
        </w:rPr>
        <w:t xml:space="preserve">In addition to </w:t>
      </w:r>
      <w:r w:rsidR="006A1099" w:rsidRPr="00D731AA">
        <w:rPr>
          <w:rFonts w:ascii="Arial" w:hAnsi="Arial" w:cs="Arial"/>
          <w:sz w:val="22"/>
          <w:szCs w:val="22"/>
        </w:rPr>
        <w:t xml:space="preserve">ensuring the vendor contract is in </w:t>
      </w:r>
      <w:r w:rsidRPr="00D731AA">
        <w:rPr>
          <w:rFonts w:ascii="Arial" w:hAnsi="Arial" w:cs="Arial"/>
          <w:sz w:val="22"/>
          <w:szCs w:val="22"/>
        </w:rPr>
        <w:t xml:space="preserve">compliance with </w:t>
      </w:r>
      <w:r w:rsidR="007A0BB5">
        <w:rPr>
          <w:rFonts w:ascii="Arial" w:hAnsi="Arial" w:cs="Arial"/>
          <w:sz w:val="22"/>
          <w:szCs w:val="22"/>
        </w:rPr>
        <w:t>the B</w:t>
      </w:r>
      <w:r w:rsidR="006A1099" w:rsidRPr="00D731AA">
        <w:rPr>
          <w:rFonts w:ascii="Arial" w:hAnsi="Arial" w:cs="Arial"/>
          <w:sz w:val="22"/>
          <w:szCs w:val="22"/>
        </w:rPr>
        <w:t xml:space="preserve">ank’s </w:t>
      </w:r>
      <w:r w:rsidRPr="00D731AA">
        <w:rPr>
          <w:rFonts w:ascii="Arial" w:hAnsi="Arial" w:cs="Arial"/>
          <w:sz w:val="22"/>
          <w:szCs w:val="22"/>
        </w:rPr>
        <w:t xml:space="preserve">requirements, the </w:t>
      </w:r>
      <w:r w:rsidR="00290AD9" w:rsidRPr="00D731AA">
        <w:rPr>
          <w:rFonts w:ascii="Arial" w:hAnsi="Arial" w:cs="Arial"/>
          <w:sz w:val="22"/>
          <w:szCs w:val="22"/>
        </w:rPr>
        <w:t xml:space="preserve">applicable Division Manager </w:t>
      </w:r>
      <w:r w:rsidRPr="00D731AA">
        <w:rPr>
          <w:rFonts w:ascii="Arial" w:hAnsi="Arial" w:cs="Arial"/>
          <w:sz w:val="22"/>
          <w:szCs w:val="22"/>
        </w:rPr>
        <w:t xml:space="preserve">will </w:t>
      </w:r>
      <w:r w:rsidR="00DD2588" w:rsidRPr="00D731AA">
        <w:rPr>
          <w:rFonts w:ascii="Arial" w:hAnsi="Arial" w:cs="Arial"/>
          <w:sz w:val="22"/>
          <w:szCs w:val="22"/>
        </w:rPr>
        <w:t>b</w:t>
      </w:r>
      <w:r w:rsidRPr="00D731AA">
        <w:rPr>
          <w:rFonts w:ascii="Arial" w:hAnsi="Arial" w:cs="Arial"/>
          <w:sz w:val="22"/>
          <w:szCs w:val="22"/>
        </w:rPr>
        <w:t xml:space="preserve">e responsible </w:t>
      </w:r>
      <w:r w:rsidR="00DD2588" w:rsidRPr="00D731AA">
        <w:rPr>
          <w:rFonts w:ascii="Arial" w:hAnsi="Arial" w:cs="Arial"/>
          <w:sz w:val="22"/>
          <w:szCs w:val="22"/>
        </w:rPr>
        <w:t xml:space="preserve">to assess the </w:t>
      </w:r>
      <w:r w:rsidR="007A72BC" w:rsidRPr="005B7191">
        <w:rPr>
          <w:rFonts w:ascii="Arial" w:hAnsi="Arial" w:cs="Arial"/>
          <w:sz w:val="22"/>
          <w:szCs w:val="22"/>
        </w:rPr>
        <w:t>critical</w:t>
      </w:r>
      <w:r w:rsidRPr="005B7191">
        <w:rPr>
          <w:rFonts w:ascii="Arial" w:hAnsi="Arial" w:cs="Arial"/>
          <w:sz w:val="22"/>
          <w:szCs w:val="22"/>
        </w:rPr>
        <w:t>ity</w:t>
      </w:r>
      <w:r w:rsidRPr="00D731AA">
        <w:rPr>
          <w:rFonts w:ascii="Arial" w:hAnsi="Arial" w:cs="Arial"/>
          <w:sz w:val="22"/>
          <w:szCs w:val="22"/>
        </w:rPr>
        <w:t xml:space="preserve"> of </w:t>
      </w:r>
      <w:r w:rsidR="00DD2588" w:rsidRPr="00D731AA">
        <w:rPr>
          <w:rFonts w:ascii="Arial" w:hAnsi="Arial" w:cs="Arial"/>
          <w:sz w:val="22"/>
          <w:szCs w:val="22"/>
        </w:rPr>
        <w:t xml:space="preserve">the services the </w:t>
      </w:r>
      <w:r w:rsidR="00290AD9" w:rsidRPr="00D731AA">
        <w:rPr>
          <w:rFonts w:ascii="Arial" w:hAnsi="Arial" w:cs="Arial"/>
          <w:sz w:val="22"/>
          <w:szCs w:val="22"/>
        </w:rPr>
        <w:t>v</w:t>
      </w:r>
      <w:r w:rsidRPr="00D731AA">
        <w:rPr>
          <w:rFonts w:ascii="Arial" w:hAnsi="Arial" w:cs="Arial"/>
          <w:sz w:val="22"/>
          <w:szCs w:val="22"/>
        </w:rPr>
        <w:t xml:space="preserve">endor </w:t>
      </w:r>
      <w:r w:rsidR="00DD2588" w:rsidRPr="00D731AA">
        <w:rPr>
          <w:rFonts w:ascii="Arial" w:hAnsi="Arial" w:cs="Arial"/>
          <w:sz w:val="22"/>
          <w:szCs w:val="22"/>
        </w:rPr>
        <w:t>will provide</w:t>
      </w:r>
      <w:r w:rsidR="00440965">
        <w:rPr>
          <w:rFonts w:ascii="Arial" w:hAnsi="Arial" w:cs="Arial"/>
          <w:sz w:val="22"/>
          <w:szCs w:val="22"/>
        </w:rPr>
        <w:t>,</w:t>
      </w:r>
      <w:r w:rsidR="00DD2588" w:rsidRPr="00D731AA">
        <w:rPr>
          <w:rFonts w:ascii="Arial" w:hAnsi="Arial" w:cs="Arial"/>
          <w:sz w:val="22"/>
          <w:szCs w:val="22"/>
        </w:rPr>
        <w:t xml:space="preserve"> giving consideration to the following factors:</w:t>
      </w:r>
    </w:p>
    <w:p w14:paraId="69EEFB9F" w14:textId="77777777" w:rsidR="00F34617" w:rsidRPr="00DC1D7D" w:rsidRDefault="00F34617" w:rsidP="00F4599F">
      <w:pPr>
        <w:ind w:left="720"/>
        <w:rPr>
          <w:rFonts w:ascii="Arial" w:hAnsi="Arial" w:cs="Arial"/>
          <w:sz w:val="16"/>
          <w:szCs w:val="16"/>
        </w:rPr>
      </w:pPr>
    </w:p>
    <w:p w14:paraId="1037E838" w14:textId="77777777" w:rsidR="00A17A28" w:rsidRPr="00D731AA" w:rsidRDefault="00DD2588" w:rsidP="00762345">
      <w:pPr>
        <w:numPr>
          <w:ilvl w:val="0"/>
          <w:numId w:val="1"/>
        </w:numPr>
        <w:tabs>
          <w:tab w:val="num" w:pos="720"/>
        </w:tabs>
        <w:ind w:left="720" w:hanging="360"/>
        <w:rPr>
          <w:rFonts w:ascii="Arial" w:hAnsi="Arial" w:cs="Arial"/>
          <w:sz w:val="22"/>
          <w:szCs w:val="22"/>
        </w:rPr>
      </w:pPr>
      <w:r w:rsidRPr="00D731AA">
        <w:rPr>
          <w:rFonts w:ascii="Arial" w:hAnsi="Arial" w:cs="Arial"/>
          <w:sz w:val="22"/>
          <w:szCs w:val="22"/>
        </w:rPr>
        <w:t xml:space="preserve">The scope of </w:t>
      </w:r>
      <w:r w:rsidR="00A17A28" w:rsidRPr="00D731AA">
        <w:rPr>
          <w:rFonts w:ascii="Arial" w:hAnsi="Arial" w:cs="Arial"/>
          <w:sz w:val="22"/>
          <w:szCs w:val="22"/>
        </w:rPr>
        <w:t>customer service responsibilities</w:t>
      </w:r>
      <w:r w:rsidRPr="00D731AA">
        <w:rPr>
          <w:rFonts w:ascii="Arial" w:hAnsi="Arial" w:cs="Arial"/>
          <w:sz w:val="22"/>
          <w:szCs w:val="22"/>
        </w:rPr>
        <w:t xml:space="preserve"> being entrusted to the vendor </w:t>
      </w:r>
      <w:r w:rsidR="00A17A28" w:rsidRPr="00D731AA">
        <w:rPr>
          <w:rFonts w:ascii="Arial" w:hAnsi="Arial" w:cs="Arial"/>
          <w:sz w:val="22"/>
          <w:szCs w:val="22"/>
        </w:rPr>
        <w:t xml:space="preserve">and the potential impact on the image of the </w:t>
      </w:r>
      <w:r w:rsidR="00290AD9" w:rsidRPr="00D731AA">
        <w:rPr>
          <w:rFonts w:ascii="Arial" w:hAnsi="Arial" w:cs="Arial"/>
          <w:sz w:val="22"/>
          <w:szCs w:val="22"/>
        </w:rPr>
        <w:t xml:space="preserve">Bank. </w:t>
      </w:r>
    </w:p>
    <w:p w14:paraId="4BD46909" w14:textId="77777777" w:rsidR="00A17A28" w:rsidRPr="00431690" w:rsidRDefault="00A17A28" w:rsidP="00762345">
      <w:pPr>
        <w:tabs>
          <w:tab w:val="num" w:pos="720"/>
        </w:tabs>
        <w:ind w:left="720" w:hanging="360"/>
        <w:rPr>
          <w:rFonts w:ascii="Arial" w:hAnsi="Arial" w:cs="Arial"/>
          <w:sz w:val="12"/>
          <w:szCs w:val="12"/>
        </w:rPr>
      </w:pPr>
    </w:p>
    <w:p w14:paraId="2ECE5D0E" w14:textId="77777777" w:rsidR="00A17A28" w:rsidRPr="00D731AA" w:rsidRDefault="00A17A28" w:rsidP="00762345">
      <w:pPr>
        <w:numPr>
          <w:ilvl w:val="0"/>
          <w:numId w:val="1"/>
        </w:numPr>
        <w:tabs>
          <w:tab w:val="num" w:pos="720"/>
        </w:tabs>
        <w:ind w:left="720" w:hanging="360"/>
        <w:rPr>
          <w:rFonts w:ascii="Arial" w:hAnsi="Arial" w:cs="Arial"/>
          <w:sz w:val="22"/>
          <w:szCs w:val="22"/>
        </w:rPr>
      </w:pPr>
      <w:r w:rsidRPr="00D731AA">
        <w:rPr>
          <w:rFonts w:ascii="Arial" w:hAnsi="Arial" w:cs="Arial"/>
          <w:sz w:val="22"/>
          <w:szCs w:val="22"/>
        </w:rPr>
        <w:t>Potential impact on earnings (i.e., potential for “real” dollar losses which might be incurred)</w:t>
      </w:r>
      <w:r w:rsidR="00290AD9" w:rsidRPr="00D731AA">
        <w:rPr>
          <w:rFonts w:ascii="Arial" w:hAnsi="Arial" w:cs="Arial"/>
          <w:sz w:val="22"/>
          <w:szCs w:val="22"/>
        </w:rPr>
        <w:t xml:space="preserve">. </w:t>
      </w:r>
    </w:p>
    <w:p w14:paraId="3DD4B34F" w14:textId="77777777" w:rsidR="00F823C2" w:rsidRPr="00431690" w:rsidRDefault="00F823C2" w:rsidP="00762345">
      <w:pPr>
        <w:tabs>
          <w:tab w:val="num" w:pos="720"/>
        </w:tabs>
        <w:ind w:left="720" w:hanging="360"/>
        <w:rPr>
          <w:rFonts w:ascii="Arial" w:hAnsi="Arial" w:cs="Arial"/>
          <w:sz w:val="12"/>
          <w:szCs w:val="12"/>
        </w:rPr>
      </w:pPr>
    </w:p>
    <w:p w14:paraId="23EFB3A5" w14:textId="77777777" w:rsidR="00A17A28" w:rsidRPr="00D731AA" w:rsidRDefault="00A17A28" w:rsidP="00762345">
      <w:pPr>
        <w:numPr>
          <w:ilvl w:val="0"/>
          <w:numId w:val="1"/>
        </w:numPr>
        <w:tabs>
          <w:tab w:val="num" w:pos="720"/>
        </w:tabs>
        <w:ind w:left="720" w:hanging="360"/>
        <w:rPr>
          <w:rFonts w:ascii="Arial" w:hAnsi="Arial" w:cs="Arial"/>
          <w:sz w:val="22"/>
          <w:szCs w:val="22"/>
        </w:rPr>
      </w:pPr>
      <w:r w:rsidRPr="00D731AA">
        <w:rPr>
          <w:rFonts w:ascii="Arial" w:hAnsi="Arial" w:cs="Arial"/>
          <w:sz w:val="22"/>
          <w:szCs w:val="22"/>
        </w:rPr>
        <w:t xml:space="preserve">Bank’s ability to control </w:t>
      </w:r>
      <w:r w:rsidR="00DD2588" w:rsidRPr="00D731AA">
        <w:rPr>
          <w:rFonts w:ascii="Arial" w:hAnsi="Arial" w:cs="Arial"/>
          <w:sz w:val="22"/>
          <w:szCs w:val="22"/>
        </w:rPr>
        <w:t>and</w:t>
      </w:r>
      <w:r w:rsidRPr="00D731AA">
        <w:rPr>
          <w:rFonts w:ascii="Arial" w:hAnsi="Arial" w:cs="Arial"/>
          <w:sz w:val="22"/>
          <w:szCs w:val="22"/>
        </w:rPr>
        <w:t xml:space="preserve"> monitor the </w:t>
      </w:r>
      <w:r w:rsidR="001C0F21" w:rsidRPr="00D731AA">
        <w:rPr>
          <w:rFonts w:ascii="Arial" w:hAnsi="Arial" w:cs="Arial"/>
          <w:sz w:val="22"/>
          <w:szCs w:val="22"/>
        </w:rPr>
        <w:t>v</w:t>
      </w:r>
      <w:r w:rsidRPr="00D731AA">
        <w:rPr>
          <w:rFonts w:ascii="Arial" w:hAnsi="Arial" w:cs="Arial"/>
          <w:sz w:val="22"/>
          <w:szCs w:val="22"/>
        </w:rPr>
        <w:t>endor’s compliance with regulatory requirements</w:t>
      </w:r>
      <w:r w:rsidR="00290AD9" w:rsidRPr="00D731AA">
        <w:rPr>
          <w:rFonts w:ascii="Arial" w:hAnsi="Arial" w:cs="Arial"/>
          <w:sz w:val="22"/>
          <w:szCs w:val="22"/>
        </w:rPr>
        <w:t>.</w:t>
      </w:r>
      <w:r w:rsidRPr="00D731AA">
        <w:rPr>
          <w:rFonts w:ascii="Arial" w:hAnsi="Arial" w:cs="Arial"/>
          <w:sz w:val="22"/>
          <w:szCs w:val="22"/>
        </w:rPr>
        <w:t xml:space="preserve">  </w:t>
      </w:r>
    </w:p>
    <w:p w14:paraId="3DCB8188" w14:textId="77777777" w:rsidR="001C0F21" w:rsidRPr="00431690" w:rsidRDefault="001C0F21" w:rsidP="00762345">
      <w:pPr>
        <w:tabs>
          <w:tab w:val="num" w:pos="720"/>
        </w:tabs>
        <w:ind w:left="720" w:hanging="360"/>
        <w:rPr>
          <w:rFonts w:ascii="Arial" w:hAnsi="Arial" w:cs="Arial"/>
          <w:sz w:val="12"/>
          <w:szCs w:val="12"/>
        </w:rPr>
      </w:pPr>
    </w:p>
    <w:p w14:paraId="433507E9" w14:textId="77777777" w:rsidR="001C0F21" w:rsidRDefault="00A17A28" w:rsidP="00762345">
      <w:pPr>
        <w:numPr>
          <w:ilvl w:val="0"/>
          <w:numId w:val="1"/>
        </w:numPr>
        <w:tabs>
          <w:tab w:val="num" w:pos="720"/>
        </w:tabs>
        <w:ind w:left="720" w:hanging="360"/>
        <w:rPr>
          <w:rFonts w:ascii="Arial" w:hAnsi="Arial" w:cs="Arial"/>
          <w:sz w:val="22"/>
          <w:szCs w:val="22"/>
        </w:rPr>
      </w:pPr>
      <w:r w:rsidRPr="00D731AA">
        <w:rPr>
          <w:rFonts w:ascii="Arial" w:hAnsi="Arial" w:cs="Arial"/>
          <w:sz w:val="22"/>
          <w:szCs w:val="22"/>
        </w:rPr>
        <w:t xml:space="preserve">Potential impact on the ability to deliver minimum </w:t>
      </w:r>
      <w:r w:rsidR="00290AD9" w:rsidRPr="00D731AA">
        <w:rPr>
          <w:rFonts w:ascii="Arial" w:hAnsi="Arial" w:cs="Arial"/>
          <w:sz w:val="22"/>
          <w:szCs w:val="22"/>
        </w:rPr>
        <w:t xml:space="preserve">acceptable </w:t>
      </w:r>
      <w:r w:rsidRPr="00D731AA">
        <w:rPr>
          <w:rFonts w:ascii="Arial" w:hAnsi="Arial" w:cs="Arial"/>
          <w:sz w:val="22"/>
          <w:szCs w:val="22"/>
        </w:rPr>
        <w:t xml:space="preserve">levels of service if the </w:t>
      </w:r>
      <w:r w:rsidR="001C0F21" w:rsidRPr="00D731AA">
        <w:rPr>
          <w:rFonts w:ascii="Arial" w:hAnsi="Arial" w:cs="Arial"/>
          <w:sz w:val="22"/>
          <w:szCs w:val="22"/>
        </w:rPr>
        <w:t>v</w:t>
      </w:r>
      <w:r w:rsidRPr="00D731AA">
        <w:rPr>
          <w:rFonts w:ascii="Arial" w:hAnsi="Arial" w:cs="Arial"/>
          <w:sz w:val="22"/>
          <w:szCs w:val="22"/>
        </w:rPr>
        <w:t xml:space="preserve">endor fails or </w:t>
      </w:r>
      <w:r w:rsidR="00DD2588" w:rsidRPr="00D731AA">
        <w:rPr>
          <w:rFonts w:ascii="Arial" w:hAnsi="Arial" w:cs="Arial"/>
          <w:sz w:val="22"/>
          <w:szCs w:val="22"/>
        </w:rPr>
        <w:t>the level of performance declines.</w:t>
      </w:r>
    </w:p>
    <w:p w14:paraId="647D56C0" w14:textId="77777777" w:rsidR="00353CC4" w:rsidRPr="00431690" w:rsidRDefault="00353CC4" w:rsidP="00353CC4">
      <w:pPr>
        <w:ind w:left="720"/>
        <w:rPr>
          <w:rFonts w:ascii="Arial" w:hAnsi="Arial" w:cs="Arial"/>
          <w:sz w:val="12"/>
          <w:szCs w:val="12"/>
        </w:rPr>
      </w:pPr>
    </w:p>
    <w:p w14:paraId="3775ED2D" w14:textId="77777777" w:rsidR="00A17A28" w:rsidRPr="00D731AA" w:rsidRDefault="00A17A28" w:rsidP="00762345">
      <w:pPr>
        <w:numPr>
          <w:ilvl w:val="0"/>
          <w:numId w:val="1"/>
        </w:numPr>
        <w:tabs>
          <w:tab w:val="num" w:pos="720"/>
        </w:tabs>
        <w:ind w:left="720" w:hanging="360"/>
        <w:rPr>
          <w:rFonts w:ascii="Arial" w:hAnsi="Arial" w:cs="Arial"/>
          <w:sz w:val="22"/>
          <w:szCs w:val="22"/>
        </w:rPr>
      </w:pPr>
      <w:r w:rsidRPr="00D731AA">
        <w:rPr>
          <w:rFonts w:ascii="Arial" w:hAnsi="Arial" w:cs="Arial"/>
          <w:sz w:val="22"/>
          <w:szCs w:val="22"/>
        </w:rPr>
        <w:t xml:space="preserve">Sensitivity </w:t>
      </w:r>
      <w:r w:rsidR="00DD2588" w:rsidRPr="00D731AA">
        <w:rPr>
          <w:rFonts w:ascii="Arial" w:hAnsi="Arial" w:cs="Arial"/>
          <w:sz w:val="22"/>
          <w:szCs w:val="22"/>
        </w:rPr>
        <w:t xml:space="preserve">to the scope and nature </w:t>
      </w:r>
      <w:r w:rsidRPr="00D731AA">
        <w:rPr>
          <w:rFonts w:ascii="Arial" w:hAnsi="Arial" w:cs="Arial"/>
          <w:sz w:val="22"/>
          <w:szCs w:val="22"/>
        </w:rPr>
        <w:t xml:space="preserve">of </w:t>
      </w:r>
      <w:r w:rsidR="00DD2588" w:rsidRPr="00D731AA">
        <w:rPr>
          <w:rFonts w:ascii="Arial" w:hAnsi="Arial" w:cs="Arial"/>
          <w:sz w:val="22"/>
          <w:szCs w:val="22"/>
        </w:rPr>
        <w:t xml:space="preserve">sensitive </w:t>
      </w:r>
      <w:r w:rsidRPr="00D731AA">
        <w:rPr>
          <w:rFonts w:ascii="Arial" w:hAnsi="Arial" w:cs="Arial"/>
          <w:sz w:val="22"/>
          <w:szCs w:val="22"/>
        </w:rPr>
        <w:t xml:space="preserve">customer information maintained by the </w:t>
      </w:r>
      <w:r w:rsidR="001C0F21" w:rsidRPr="00D731AA">
        <w:rPr>
          <w:rFonts w:ascii="Arial" w:hAnsi="Arial" w:cs="Arial"/>
          <w:sz w:val="22"/>
          <w:szCs w:val="22"/>
        </w:rPr>
        <w:t>v</w:t>
      </w:r>
      <w:r w:rsidRPr="00D731AA">
        <w:rPr>
          <w:rFonts w:ascii="Arial" w:hAnsi="Arial" w:cs="Arial"/>
          <w:sz w:val="22"/>
          <w:szCs w:val="22"/>
        </w:rPr>
        <w:t xml:space="preserve">endor or accessible by the </w:t>
      </w:r>
      <w:r w:rsidR="001C0F21" w:rsidRPr="00D731AA">
        <w:rPr>
          <w:rFonts w:ascii="Arial" w:hAnsi="Arial" w:cs="Arial"/>
          <w:sz w:val="22"/>
          <w:szCs w:val="22"/>
        </w:rPr>
        <w:t>v</w:t>
      </w:r>
      <w:r w:rsidRPr="00D731AA">
        <w:rPr>
          <w:rFonts w:ascii="Arial" w:hAnsi="Arial" w:cs="Arial"/>
          <w:sz w:val="22"/>
          <w:szCs w:val="22"/>
        </w:rPr>
        <w:t>endor</w:t>
      </w:r>
      <w:r w:rsidR="00290AD9" w:rsidRPr="00D731AA">
        <w:rPr>
          <w:rFonts w:ascii="Arial" w:hAnsi="Arial" w:cs="Arial"/>
          <w:sz w:val="22"/>
          <w:szCs w:val="22"/>
        </w:rPr>
        <w:t>.</w:t>
      </w:r>
    </w:p>
    <w:p w14:paraId="4218A0A1" w14:textId="77777777" w:rsidR="008905B3" w:rsidRDefault="008905B3" w:rsidP="00F4599F">
      <w:pPr>
        <w:rPr>
          <w:rFonts w:ascii="Arial" w:hAnsi="Arial" w:cs="Arial"/>
          <w:b/>
          <w:sz w:val="22"/>
          <w:szCs w:val="22"/>
        </w:rPr>
      </w:pPr>
    </w:p>
    <w:p w14:paraId="45D70CB1" w14:textId="77777777" w:rsidR="00FB1D9B" w:rsidRPr="00FB1D9B" w:rsidRDefault="00A17A28" w:rsidP="00FB1D9B">
      <w:pPr>
        <w:rPr>
          <w:rFonts w:ascii="Arial" w:hAnsi="Arial" w:cs="Arial"/>
          <w:b/>
          <w:sz w:val="22"/>
          <w:szCs w:val="22"/>
        </w:rPr>
      </w:pPr>
      <w:r w:rsidRPr="00FB1D9B">
        <w:rPr>
          <w:rFonts w:ascii="Arial" w:hAnsi="Arial" w:cs="Arial"/>
          <w:b/>
          <w:sz w:val="22"/>
          <w:szCs w:val="22"/>
        </w:rPr>
        <w:t xml:space="preserve">The following definitions </w:t>
      </w:r>
      <w:r w:rsidR="00DD2588" w:rsidRPr="00FB1D9B">
        <w:rPr>
          <w:rFonts w:ascii="Arial" w:hAnsi="Arial" w:cs="Arial"/>
          <w:b/>
          <w:sz w:val="22"/>
          <w:szCs w:val="22"/>
        </w:rPr>
        <w:t xml:space="preserve">are </w:t>
      </w:r>
      <w:r w:rsidRPr="00FB1D9B">
        <w:rPr>
          <w:rFonts w:ascii="Arial" w:hAnsi="Arial" w:cs="Arial"/>
          <w:b/>
          <w:sz w:val="22"/>
          <w:szCs w:val="22"/>
        </w:rPr>
        <w:t xml:space="preserve">used </w:t>
      </w:r>
      <w:r w:rsidR="00290AD9" w:rsidRPr="00FB1D9B">
        <w:rPr>
          <w:rFonts w:ascii="Arial" w:hAnsi="Arial" w:cs="Arial"/>
          <w:b/>
          <w:sz w:val="22"/>
          <w:szCs w:val="22"/>
        </w:rPr>
        <w:t xml:space="preserve">to classify </w:t>
      </w:r>
      <w:r w:rsidRPr="00FB1D9B">
        <w:rPr>
          <w:rFonts w:ascii="Arial" w:hAnsi="Arial" w:cs="Arial"/>
          <w:b/>
          <w:sz w:val="22"/>
          <w:szCs w:val="22"/>
        </w:rPr>
        <w:t xml:space="preserve">the </w:t>
      </w:r>
      <w:r w:rsidR="00290AD9" w:rsidRPr="00FB1D9B">
        <w:rPr>
          <w:rFonts w:ascii="Arial" w:hAnsi="Arial" w:cs="Arial"/>
          <w:b/>
          <w:sz w:val="22"/>
          <w:szCs w:val="22"/>
        </w:rPr>
        <w:t xml:space="preserve">relative importance </w:t>
      </w:r>
      <w:r w:rsidRPr="00FB1D9B">
        <w:rPr>
          <w:rFonts w:ascii="Arial" w:hAnsi="Arial" w:cs="Arial"/>
          <w:b/>
          <w:sz w:val="22"/>
          <w:szCs w:val="22"/>
        </w:rPr>
        <w:t xml:space="preserve">of </w:t>
      </w:r>
      <w:r w:rsidR="001C0F21" w:rsidRPr="00FB1D9B">
        <w:rPr>
          <w:rFonts w:ascii="Arial" w:hAnsi="Arial" w:cs="Arial"/>
          <w:b/>
          <w:sz w:val="22"/>
          <w:szCs w:val="22"/>
        </w:rPr>
        <w:t>v</w:t>
      </w:r>
      <w:r w:rsidRPr="00FB1D9B">
        <w:rPr>
          <w:rFonts w:ascii="Arial" w:hAnsi="Arial" w:cs="Arial"/>
          <w:b/>
          <w:sz w:val="22"/>
          <w:szCs w:val="22"/>
        </w:rPr>
        <w:t>endors:</w:t>
      </w:r>
    </w:p>
    <w:p w14:paraId="660EB1B9" w14:textId="77777777" w:rsidR="00FB1D9B" w:rsidRPr="003E220E" w:rsidRDefault="00FB1D9B" w:rsidP="00FB1D9B">
      <w:pPr>
        <w:rPr>
          <w:rFonts w:ascii="Arial" w:hAnsi="Arial" w:cs="Arial"/>
          <w:b/>
          <w:sz w:val="16"/>
          <w:szCs w:val="16"/>
        </w:rPr>
      </w:pPr>
    </w:p>
    <w:p w14:paraId="5CC4F4BA" w14:textId="77777777" w:rsidR="00FB1D9B" w:rsidRPr="00FB1D9B" w:rsidRDefault="007A72BC" w:rsidP="00FB1D9B">
      <w:pPr>
        <w:rPr>
          <w:rFonts w:ascii="Arial" w:hAnsi="Arial" w:cs="Arial"/>
          <w:sz w:val="22"/>
          <w:szCs w:val="22"/>
        </w:rPr>
      </w:pPr>
      <w:r w:rsidRPr="00FB1D9B">
        <w:rPr>
          <w:rFonts w:ascii="Arial" w:hAnsi="Arial" w:cs="Arial"/>
          <w:b/>
          <w:sz w:val="22"/>
          <w:szCs w:val="22"/>
          <w:u w:val="single"/>
        </w:rPr>
        <w:t>Critical</w:t>
      </w:r>
      <w:r w:rsidR="00A17A28" w:rsidRPr="00FB1D9B">
        <w:rPr>
          <w:rFonts w:ascii="Arial" w:hAnsi="Arial" w:cs="Arial"/>
          <w:sz w:val="22"/>
          <w:szCs w:val="22"/>
        </w:rPr>
        <w:t xml:space="preserve"> </w:t>
      </w:r>
      <w:r w:rsidR="00A17A28" w:rsidRPr="00E12BA4">
        <w:rPr>
          <w:rFonts w:ascii="Arial" w:hAnsi="Arial" w:cs="Arial"/>
          <w:sz w:val="22"/>
          <w:szCs w:val="22"/>
        </w:rPr>
        <w:t xml:space="preserve">– Services </w:t>
      </w:r>
      <w:r w:rsidR="00290AD9" w:rsidRPr="00E12BA4">
        <w:rPr>
          <w:rFonts w:ascii="Arial" w:hAnsi="Arial" w:cs="Arial"/>
          <w:sz w:val="22"/>
          <w:szCs w:val="22"/>
        </w:rPr>
        <w:t xml:space="preserve">provided by the vendor are </w:t>
      </w:r>
      <w:r w:rsidR="00A17A28" w:rsidRPr="00E12BA4">
        <w:rPr>
          <w:rFonts w:ascii="Arial" w:hAnsi="Arial" w:cs="Arial"/>
          <w:sz w:val="22"/>
          <w:szCs w:val="22"/>
        </w:rPr>
        <w:t>considered “</w:t>
      </w:r>
      <w:r w:rsidRPr="00E12BA4">
        <w:rPr>
          <w:rFonts w:ascii="Arial" w:hAnsi="Arial" w:cs="Arial"/>
          <w:sz w:val="22"/>
          <w:szCs w:val="22"/>
        </w:rPr>
        <w:t>critical</w:t>
      </w:r>
      <w:r w:rsidR="003F0521" w:rsidRPr="00E12BA4">
        <w:rPr>
          <w:rFonts w:ascii="Arial" w:hAnsi="Arial" w:cs="Arial"/>
          <w:sz w:val="22"/>
          <w:szCs w:val="22"/>
        </w:rPr>
        <w:t xml:space="preserve">” to the Bank’s operations if </w:t>
      </w:r>
      <w:r w:rsidR="0069763C" w:rsidRPr="00E12BA4">
        <w:rPr>
          <w:rFonts w:ascii="Arial" w:hAnsi="Arial" w:cs="Arial"/>
          <w:sz w:val="22"/>
          <w:szCs w:val="22"/>
        </w:rPr>
        <w:t xml:space="preserve">the services </w:t>
      </w:r>
      <w:r w:rsidR="00E25198" w:rsidRPr="00E12BA4">
        <w:rPr>
          <w:rFonts w:ascii="Arial" w:hAnsi="Arial" w:cs="Arial"/>
          <w:sz w:val="22"/>
          <w:szCs w:val="22"/>
        </w:rPr>
        <w:t xml:space="preserve">are required in order for the </w:t>
      </w:r>
      <w:r w:rsidR="00A17A28" w:rsidRPr="00E12BA4">
        <w:rPr>
          <w:rFonts w:ascii="Arial" w:hAnsi="Arial" w:cs="Arial"/>
          <w:sz w:val="22"/>
          <w:szCs w:val="22"/>
        </w:rPr>
        <w:t>Bank to</w:t>
      </w:r>
      <w:r w:rsidR="001C0F21" w:rsidRPr="00E12BA4">
        <w:rPr>
          <w:rFonts w:ascii="Arial" w:hAnsi="Arial" w:cs="Arial"/>
          <w:sz w:val="22"/>
          <w:szCs w:val="22"/>
        </w:rPr>
        <w:t xml:space="preserve"> (1) </w:t>
      </w:r>
      <w:r w:rsidR="00A17A28" w:rsidRPr="00E12BA4">
        <w:rPr>
          <w:rFonts w:ascii="Arial" w:hAnsi="Arial" w:cs="Arial"/>
          <w:sz w:val="22"/>
          <w:szCs w:val="22"/>
        </w:rPr>
        <w:t>operate at adequate capacity</w:t>
      </w:r>
      <w:r w:rsidR="003F0521" w:rsidRPr="00E12BA4">
        <w:rPr>
          <w:rFonts w:ascii="Arial" w:hAnsi="Arial" w:cs="Arial"/>
          <w:sz w:val="22"/>
          <w:szCs w:val="22"/>
        </w:rPr>
        <w:t>,</w:t>
      </w:r>
      <w:r w:rsidR="00A17A28" w:rsidRPr="00E12BA4">
        <w:rPr>
          <w:rFonts w:ascii="Arial" w:hAnsi="Arial" w:cs="Arial"/>
          <w:sz w:val="22"/>
          <w:szCs w:val="22"/>
        </w:rPr>
        <w:t xml:space="preserve"> </w:t>
      </w:r>
      <w:r w:rsidR="003F0521" w:rsidRPr="00E12BA4">
        <w:rPr>
          <w:rFonts w:ascii="Arial" w:hAnsi="Arial" w:cs="Arial"/>
          <w:sz w:val="22"/>
          <w:szCs w:val="22"/>
        </w:rPr>
        <w:t>or (2) deliver minimally acceptable levels of customer service</w:t>
      </w:r>
      <w:r w:rsidR="00E25198" w:rsidRPr="00E12BA4">
        <w:rPr>
          <w:rFonts w:ascii="Arial" w:hAnsi="Arial" w:cs="Arial"/>
          <w:sz w:val="22"/>
          <w:szCs w:val="22"/>
        </w:rPr>
        <w:t>.</w:t>
      </w:r>
      <w:r w:rsidR="00A17A28" w:rsidRPr="00FB1D9B">
        <w:rPr>
          <w:rFonts w:ascii="Arial" w:hAnsi="Arial" w:cs="Arial"/>
          <w:sz w:val="22"/>
          <w:szCs w:val="22"/>
        </w:rPr>
        <w:t xml:space="preserve"> </w:t>
      </w:r>
      <w:r w:rsidR="00E25198">
        <w:rPr>
          <w:rFonts w:ascii="Arial" w:hAnsi="Arial" w:cs="Arial"/>
          <w:sz w:val="22"/>
          <w:szCs w:val="22"/>
        </w:rPr>
        <w:t xml:space="preserve"> </w:t>
      </w:r>
      <w:r w:rsidR="003F0521" w:rsidRPr="00FB1D9B">
        <w:rPr>
          <w:rFonts w:ascii="Arial" w:hAnsi="Arial" w:cs="Arial"/>
          <w:sz w:val="22"/>
          <w:szCs w:val="22"/>
        </w:rPr>
        <w:t>Also, there is no immediate replacement or back-up for such services, and contingency plans are required to ensure continuity of the Bank’s operations.</w:t>
      </w:r>
    </w:p>
    <w:p w14:paraId="0AED5A57" w14:textId="77777777" w:rsidR="00FB1D9B" w:rsidRPr="003E220E" w:rsidRDefault="00FB1D9B" w:rsidP="00FB1D9B">
      <w:pPr>
        <w:rPr>
          <w:rFonts w:ascii="Arial" w:hAnsi="Arial" w:cs="Arial"/>
          <w:sz w:val="16"/>
          <w:szCs w:val="16"/>
        </w:rPr>
      </w:pPr>
    </w:p>
    <w:p w14:paraId="4EAF7C1E" w14:textId="77777777" w:rsidR="00FB1D9B" w:rsidRPr="00FB1D9B" w:rsidRDefault="00A17A28" w:rsidP="00E12BA4">
      <w:pPr>
        <w:ind w:right="-72"/>
        <w:rPr>
          <w:rFonts w:ascii="Arial" w:hAnsi="Arial" w:cs="Arial"/>
          <w:sz w:val="22"/>
          <w:szCs w:val="22"/>
        </w:rPr>
      </w:pPr>
      <w:r w:rsidRPr="00FB1D9B">
        <w:rPr>
          <w:rFonts w:ascii="Arial" w:hAnsi="Arial" w:cs="Arial"/>
          <w:sz w:val="22"/>
          <w:szCs w:val="22"/>
        </w:rPr>
        <w:t xml:space="preserve">The use </w:t>
      </w:r>
      <w:r w:rsidR="00F71765" w:rsidRPr="00FB1D9B">
        <w:rPr>
          <w:rFonts w:ascii="Arial" w:hAnsi="Arial" w:cs="Arial"/>
          <w:sz w:val="22"/>
          <w:szCs w:val="22"/>
        </w:rPr>
        <w:t xml:space="preserve">of </w:t>
      </w:r>
      <w:r w:rsidR="00290AD9" w:rsidRPr="00FB1D9B">
        <w:rPr>
          <w:rFonts w:ascii="Arial" w:hAnsi="Arial" w:cs="Arial"/>
          <w:sz w:val="22"/>
          <w:szCs w:val="22"/>
        </w:rPr>
        <w:t xml:space="preserve">outside </w:t>
      </w:r>
      <w:r w:rsidR="001C0F21" w:rsidRPr="00FB1D9B">
        <w:rPr>
          <w:rFonts w:ascii="Arial" w:hAnsi="Arial" w:cs="Arial"/>
          <w:sz w:val="22"/>
          <w:szCs w:val="22"/>
        </w:rPr>
        <w:t>v</w:t>
      </w:r>
      <w:r w:rsidRPr="00FB1D9B">
        <w:rPr>
          <w:rFonts w:ascii="Arial" w:hAnsi="Arial" w:cs="Arial"/>
          <w:sz w:val="22"/>
          <w:szCs w:val="22"/>
        </w:rPr>
        <w:t xml:space="preserve">endors </w:t>
      </w:r>
      <w:r w:rsidR="00290AD9" w:rsidRPr="00FB1D9B">
        <w:rPr>
          <w:rFonts w:ascii="Arial" w:hAnsi="Arial" w:cs="Arial"/>
          <w:sz w:val="22"/>
          <w:szCs w:val="22"/>
        </w:rPr>
        <w:t xml:space="preserve">to perform </w:t>
      </w:r>
      <w:r w:rsidR="007A72BC" w:rsidRPr="00FB1D9B">
        <w:rPr>
          <w:rFonts w:ascii="Arial" w:hAnsi="Arial" w:cs="Arial"/>
          <w:i/>
          <w:sz w:val="22"/>
          <w:szCs w:val="22"/>
        </w:rPr>
        <w:t>critical</w:t>
      </w:r>
      <w:r w:rsidR="00290AD9" w:rsidRPr="00FB1D9B">
        <w:rPr>
          <w:rFonts w:ascii="Arial" w:hAnsi="Arial" w:cs="Arial"/>
          <w:i/>
          <w:sz w:val="22"/>
          <w:szCs w:val="22"/>
        </w:rPr>
        <w:t xml:space="preserve"> </w:t>
      </w:r>
      <w:r w:rsidR="00290AD9" w:rsidRPr="00FB1D9B">
        <w:rPr>
          <w:rFonts w:ascii="Arial" w:hAnsi="Arial" w:cs="Arial"/>
          <w:sz w:val="22"/>
          <w:szCs w:val="22"/>
        </w:rPr>
        <w:t xml:space="preserve">services </w:t>
      </w:r>
      <w:r w:rsidRPr="00FB1D9B">
        <w:rPr>
          <w:rFonts w:ascii="Arial" w:hAnsi="Arial" w:cs="Arial"/>
          <w:sz w:val="22"/>
          <w:szCs w:val="22"/>
        </w:rPr>
        <w:t>exposes the Bank to significant levels of strategic, operational</w:t>
      </w:r>
      <w:r w:rsidR="001C0F21" w:rsidRPr="00FB1D9B">
        <w:rPr>
          <w:rFonts w:ascii="Arial" w:hAnsi="Arial" w:cs="Arial"/>
          <w:sz w:val="22"/>
          <w:szCs w:val="22"/>
        </w:rPr>
        <w:t xml:space="preserve"> </w:t>
      </w:r>
      <w:r w:rsidR="0006163D" w:rsidRPr="00FB1D9B">
        <w:rPr>
          <w:rFonts w:ascii="Arial" w:hAnsi="Arial" w:cs="Arial"/>
          <w:sz w:val="22"/>
          <w:szCs w:val="22"/>
        </w:rPr>
        <w:t>or reputation risk</w:t>
      </w:r>
      <w:r w:rsidRPr="00FB1D9B">
        <w:rPr>
          <w:rFonts w:ascii="Arial" w:hAnsi="Arial" w:cs="Arial"/>
          <w:sz w:val="22"/>
          <w:szCs w:val="22"/>
        </w:rPr>
        <w:t xml:space="preserve">.  Additionally, the </w:t>
      </w:r>
      <w:r w:rsidR="001C0F21" w:rsidRPr="00FB1D9B">
        <w:rPr>
          <w:rFonts w:ascii="Arial" w:hAnsi="Arial" w:cs="Arial"/>
          <w:sz w:val="22"/>
          <w:szCs w:val="22"/>
        </w:rPr>
        <w:t>v</w:t>
      </w:r>
      <w:r w:rsidRPr="00FB1D9B">
        <w:rPr>
          <w:rFonts w:ascii="Arial" w:hAnsi="Arial" w:cs="Arial"/>
          <w:sz w:val="22"/>
          <w:szCs w:val="22"/>
        </w:rPr>
        <w:t>endor’s business may be subject to high levels of credit or other financial risk (i.e., they may be highly leveraged, or dependent on a small market segment, etc.)</w:t>
      </w:r>
      <w:r w:rsidR="0006163D" w:rsidRPr="00FB1D9B">
        <w:rPr>
          <w:rFonts w:ascii="Arial" w:hAnsi="Arial" w:cs="Arial"/>
          <w:sz w:val="22"/>
          <w:szCs w:val="22"/>
        </w:rPr>
        <w:t>.</w:t>
      </w:r>
      <w:r w:rsidR="008905B3" w:rsidRPr="00FB1D9B">
        <w:rPr>
          <w:rFonts w:ascii="Arial" w:hAnsi="Arial" w:cs="Arial"/>
          <w:sz w:val="22"/>
          <w:szCs w:val="22"/>
        </w:rPr>
        <w:t xml:space="preserve">  </w:t>
      </w:r>
      <w:r w:rsidR="0006163D" w:rsidRPr="00FB1D9B">
        <w:rPr>
          <w:rFonts w:ascii="Arial" w:hAnsi="Arial" w:cs="Arial"/>
          <w:sz w:val="22"/>
          <w:szCs w:val="22"/>
        </w:rPr>
        <w:t>T</w:t>
      </w:r>
      <w:r w:rsidRPr="00FB1D9B">
        <w:rPr>
          <w:rFonts w:ascii="Arial" w:hAnsi="Arial" w:cs="Arial"/>
          <w:sz w:val="22"/>
          <w:szCs w:val="22"/>
        </w:rPr>
        <w:t xml:space="preserve">he </w:t>
      </w:r>
      <w:r w:rsidR="0006163D" w:rsidRPr="00FB1D9B">
        <w:rPr>
          <w:rFonts w:ascii="Arial" w:hAnsi="Arial" w:cs="Arial"/>
          <w:sz w:val="22"/>
          <w:szCs w:val="22"/>
        </w:rPr>
        <w:t xml:space="preserve">collection and remittance of payments by a </w:t>
      </w:r>
      <w:r w:rsidR="001C0F21" w:rsidRPr="00FB1D9B">
        <w:rPr>
          <w:rFonts w:ascii="Arial" w:hAnsi="Arial" w:cs="Arial"/>
          <w:sz w:val="22"/>
          <w:szCs w:val="22"/>
        </w:rPr>
        <w:t>v</w:t>
      </w:r>
      <w:r w:rsidRPr="00FB1D9B">
        <w:rPr>
          <w:rFonts w:ascii="Arial" w:hAnsi="Arial" w:cs="Arial"/>
          <w:sz w:val="22"/>
          <w:szCs w:val="22"/>
        </w:rPr>
        <w:t>endor on behalf of the Bank</w:t>
      </w:r>
      <w:r w:rsidR="00290AD9" w:rsidRPr="00FB1D9B">
        <w:rPr>
          <w:rFonts w:ascii="Arial" w:hAnsi="Arial" w:cs="Arial"/>
          <w:sz w:val="22"/>
          <w:szCs w:val="22"/>
        </w:rPr>
        <w:t xml:space="preserve"> </w:t>
      </w:r>
      <w:r w:rsidR="0006163D" w:rsidRPr="00FB1D9B">
        <w:rPr>
          <w:rFonts w:ascii="Arial" w:hAnsi="Arial" w:cs="Arial"/>
          <w:sz w:val="22"/>
          <w:szCs w:val="22"/>
        </w:rPr>
        <w:t xml:space="preserve">could </w:t>
      </w:r>
      <w:r w:rsidRPr="00FB1D9B">
        <w:rPr>
          <w:rFonts w:ascii="Arial" w:hAnsi="Arial" w:cs="Arial"/>
          <w:sz w:val="22"/>
          <w:szCs w:val="22"/>
        </w:rPr>
        <w:t>expos</w:t>
      </w:r>
      <w:r w:rsidR="0006163D" w:rsidRPr="00FB1D9B">
        <w:rPr>
          <w:rFonts w:ascii="Arial" w:hAnsi="Arial" w:cs="Arial"/>
          <w:sz w:val="22"/>
          <w:szCs w:val="22"/>
        </w:rPr>
        <w:t>e</w:t>
      </w:r>
      <w:r w:rsidRPr="00FB1D9B">
        <w:rPr>
          <w:rFonts w:ascii="Arial" w:hAnsi="Arial" w:cs="Arial"/>
          <w:sz w:val="22"/>
          <w:szCs w:val="22"/>
        </w:rPr>
        <w:t xml:space="preserve"> the Bank to operational, interest rate, market or liquidity risk. </w:t>
      </w:r>
      <w:r w:rsidR="007A0BB5">
        <w:rPr>
          <w:rFonts w:ascii="Arial" w:hAnsi="Arial" w:cs="Arial"/>
          <w:sz w:val="22"/>
          <w:szCs w:val="22"/>
        </w:rPr>
        <w:t xml:space="preserve"> </w:t>
      </w:r>
      <w:r w:rsidR="0006163D" w:rsidRPr="00FB1D9B">
        <w:rPr>
          <w:rFonts w:ascii="Arial" w:hAnsi="Arial" w:cs="Arial"/>
          <w:sz w:val="22"/>
          <w:szCs w:val="22"/>
        </w:rPr>
        <w:t>In some cases a</w:t>
      </w:r>
      <w:r w:rsidRPr="00FB1D9B">
        <w:rPr>
          <w:rFonts w:ascii="Arial" w:hAnsi="Arial" w:cs="Arial"/>
          <w:sz w:val="22"/>
          <w:szCs w:val="22"/>
        </w:rPr>
        <w:t xml:space="preserve"> </w:t>
      </w:r>
      <w:r w:rsidR="001C0F21" w:rsidRPr="00FB1D9B">
        <w:rPr>
          <w:rFonts w:ascii="Arial" w:hAnsi="Arial" w:cs="Arial"/>
          <w:sz w:val="22"/>
          <w:szCs w:val="22"/>
        </w:rPr>
        <w:t>v</w:t>
      </w:r>
      <w:r w:rsidRPr="00FB1D9B">
        <w:rPr>
          <w:rFonts w:ascii="Arial" w:hAnsi="Arial" w:cs="Arial"/>
          <w:sz w:val="22"/>
          <w:szCs w:val="22"/>
        </w:rPr>
        <w:t>endor may have access to</w:t>
      </w:r>
      <w:r w:rsidR="0006163D" w:rsidRPr="00FB1D9B">
        <w:rPr>
          <w:rFonts w:ascii="Arial" w:hAnsi="Arial" w:cs="Arial"/>
          <w:sz w:val="22"/>
          <w:szCs w:val="22"/>
        </w:rPr>
        <w:t>,</w:t>
      </w:r>
      <w:r w:rsidRPr="00FB1D9B">
        <w:rPr>
          <w:rFonts w:ascii="Arial" w:hAnsi="Arial" w:cs="Arial"/>
          <w:sz w:val="22"/>
          <w:szCs w:val="22"/>
        </w:rPr>
        <w:t xml:space="preserve"> or </w:t>
      </w:r>
      <w:r w:rsidR="001C0F21" w:rsidRPr="00FB1D9B">
        <w:rPr>
          <w:rFonts w:ascii="Arial" w:hAnsi="Arial" w:cs="Arial"/>
          <w:sz w:val="22"/>
          <w:szCs w:val="22"/>
        </w:rPr>
        <w:t xml:space="preserve">be in </w:t>
      </w:r>
      <w:r w:rsidRPr="00FB1D9B">
        <w:rPr>
          <w:rFonts w:ascii="Arial" w:hAnsi="Arial" w:cs="Arial"/>
          <w:sz w:val="22"/>
          <w:szCs w:val="22"/>
        </w:rPr>
        <w:t>possession of</w:t>
      </w:r>
      <w:r w:rsidR="0006163D" w:rsidRPr="00FB1D9B">
        <w:rPr>
          <w:rFonts w:ascii="Arial" w:hAnsi="Arial" w:cs="Arial"/>
          <w:sz w:val="22"/>
          <w:szCs w:val="22"/>
        </w:rPr>
        <w:t>,</w:t>
      </w:r>
      <w:r w:rsidRPr="00FB1D9B">
        <w:rPr>
          <w:rFonts w:ascii="Arial" w:hAnsi="Arial" w:cs="Arial"/>
          <w:sz w:val="22"/>
          <w:szCs w:val="22"/>
        </w:rPr>
        <w:t xml:space="preserve"> confidential customer data. </w:t>
      </w:r>
      <w:r w:rsidR="0006163D" w:rsidRPr="00FB1D9B">
        <w:rPr>
          <w:rFonts w:ascii="Arial" w:hAnsi="Arial" w:cs="Arial"/>
          <w:sz w:val="22"/>
          <w:szCs w:val="22"/>
        </w:rPr>
        <w:t xml:space="preserve"> </w:t>
      </w:r>
      <w:r w:rsidRPr="00FB1D9B">
        <w:rPr>
          <w:rFonts w:ascii="Arial" w:hAnsi="Arial" w:cs="Arial"/>
          <w:sz w:val="22"/>
          <w:szCs w:val="22"/>
        </w:rPr>
        <w:t>Significant “hard” dollar losses (e.g., unbudgeted, extraordinary</w:t>
      </w:r>
      <w:r w:rsidR="0006163D" w:rsidRPr="00FB1D9B">
        <w:rPr>
          <w:rFonts w:ascii="Arial" w:hAnsi="Arial" w:cs="Arial"/>
          <w:sz w:val="22"/>
          <w:szCs w:val="22"/>
        </w:rPr>
        <w:t>, or out-of-pocket</w:t>
      </w:r>
      <w:r w:rsidRPr="00FB1D9B">
        <w:rPr>
          <w:rFonts w:ascii="Arial" w:hAnsi="Arial" w:cs="Arial"/>
          <w:sz w:val="22"/>
          <w:szCs w:val="22"/>
        </w:rPr>
        <w:t xml:space="preserve"> cash expenditures for additional assi</w:t>
      </w:r>
      <w:r w:rsidR="0056315D" w:rsidRPr="00FB1D9B">
        <w:rPr>
          <w:rFonts w:ascii="Arial" w:hAnsi="Arial" w:cs="Arial"/>
          <w:sz w:val="22"/>
          <w:szCs w:val="22"/>
        </w:rPr>
        <w:t>stance, legal costs, etc.) and soft</w:t>
      </w:r>
      <w:r w:rsidRPr="00FB1D9B">
        <w:rPr>
          <w:rFonts w:ascii="Arial" w:hAnsi="Arial" w:cs="Arial"/>
          <w:sz w:val="22"/>
          <w:szCs w:val="22"/>
        </w:rPr>
        <w:t xml:space="preserve"> dollar losses (e.g., damage to </w:t>
      </w:r>
      <w:r w:rsidR="0006163D" w:rsidRPr="00FB1D9B">
        <w:rPr>
          <w:rFonts w:ascii="Arial" w:hAnsi="Arial" w:cs="Arial"/>
          <w:sz w:val="22"/>
          <w:szCs w:val="22"/>
        </w:rPr>
        <w:t xml:space="preserve">the </w:t>
      </w:r>
      <w:r w:rsidRPr="00FB1D9B">
        <w:rPr>
          <w:rFonts w:ascii="Arial" w:hAnsi="Arial" w:cs="Arial"/>
          <w:sz w:val="22"/>
          <w:szCs w:val="22"/>
        </w:rPr>
        <w:t>Bank’s reputation, disrupt</w:t>
      </w:r>
      <w:r w:rsidR="0006163D" w:rsidRPr="00FB1D9B">
        <w:rPr>
          <w:rFonts w:ascii="Arial" w:hAnsi="Arial" w:cs="Arial"/>
          <w:sz w:val="22"/>
          <w:szCs w:val="22"/>
        </w:rPr>
        <w:t>ion to</w:t>
      </w:r>
      <w:r w:rsidRPr="00FB1D9B">
        <w:rPr>
          <w:rFonts w:ascii="Arial" w:hAnsi="Arial" w:cs="Arial"/>
          <w:sz w:val="22"/>
          <w:szCs w:val="22"/>
        </w:rPr>
        <w:t xml:space="preserve"> service, </w:t>
      </w:r>
      <w:r w:rsidR="0006163D" w:rsidRPr="00FB1D9B">
        <w:rPr>
          <w:rFonts w:ascii="Arial" w:hAnsi="Arial" w:cs="Arial"/>
          <w:sz w:val="22"/>
          <w:szCs w:val="22"/>
        </w:rPr>
        <w:t xml:space="preserve">or </w:t>
      </w:r>
      <w:r w:rsidRPr="00FB1D9B">
        <w:rPr>
          <w:rFonts w:ascii="Arial" w:hAnsi="Arial" w:cs="Arial"/>
          <w:sz w:val="22"/>
          <w:szCs w:val="22"/>
        </w:rPr>
        <w:t>staff time/overti</w:t>
      </w:r>
      <w:r w:rsidR="0006163D" w:rsidRPr="00FB1D9B">
        <w:rPr>
          <w:rFonts w:ascii="Arial" w:hAnsi="Arial" w:cs="Arial"/>
          <w:sz w:val="22"/>
          <w:szCs w:val="22"/>
        </w:rPr>
        <w:t>me) could be incurred because of the v</w:t>
      </w:r>
      <w:r w:rsidRPr="00FB1D9B">
        <w:rPr>
          <w:rFonts w:ascii="Arial" w:hAnsi="Arial" w:cs="Arial"/>
          <w:sz w:val="22"/>
          <w:szCs w:val="22"/>
        </w:rPr>
        <w:t>endor’s failure to adequately manage risks.</w:t>
      </w:r>
    </w:p>
    <w:p w14:paraId="3D3973CC" w14:textId="77777777" w:rsidR="00FB1D9B" w:rsidRPr="003E220E" w:rsidRDefault="00FB1D9B" w:rsidP="00FB1D9B">
      <w:pPr>
        <w:rPr>
          <w:rFonts w:ascii="Arial" w:hAnsi="Arial" w:cs="Arial"/>
          <w:sz w:val="16"/>
          <w:szCs w:val="16"/>
        </w:rPr>
      </w:pPr>
    </w:p>
    <w:p w14:paraId="601C3E56" w14:textId="77777777" w:rsidR="00A17A28" w:rsidRPr="00FB1D9B" w:rsidRDefault="00A17A28" w:rsidP="00FB1D9B">
      <w:pPr>
        <w:rPr>
          <w:rFonts w:ascii="Arial" w:hAnsi="Arial" w:cs="Arial"/>
          <w:b/>
          <w:sz w:val="22"/>
          <w:szCs w:val="22"/>
        </w:rPr>
      </w:pPr>
      <w:r w:rsidRPr="00FB1D9B">
        <w:rPr>
          <w:rFonts w:ascii="Arial" w:hAnsi="Arial" w:cs="Arial"/>
          <w:b/>
          <w:sz w:val="22"/>
          <w:szCs w:val="22"/>
          <w:u w:val="single"/>
        </w:rPr>
        <w:t>Important</w:t>
      </w:r>
      <w:r w:rsidRPr="00FB1D9B">
        <w:rPr>
          <w:rFonts w:ascii="Arial" w:hAnsi="Arial" w:cs="Arial"/>
          <w:b/>
          <w:sz w:val="22"/>
          <w:szCs w:val="22"/>
        </w:rPr>
        <w:t xml:space="preserve"> </w:t>
      </w:r>
      <w:r w:rsidRPr="00FB1D9B">
        <w:rPr>
          <w:rFonts w:ascii="Arial" w:hAnsi="Arial" w:cs="Arial"/>
          <w:sz w:val="22"/>
          <w:szCs w:val="22"/>
        </w:rPr>
        <w:t>– Services</w:t>
      </w:r>
      <w:r w:rsidR="00F71765" w:rsidRPr="00FB1D9B">
        <w:rPr>
          <w:rFonts w:ascii="Arial" w:hAnsi="Arial" w:cs="Arial"/>
          <w:sz w:val="22"/>
          <w:szCs w:val="22"/>
        </w:rPr>
        <w:t xml:space="preserve"> provided by the vendor</w:t>
      </w:r>
      <w:r w:rsidRPr="00FB1D9B">
        <w:rPr>
          <w:rFonts w:ascii="Arial" w:hAnsi="Arial" w:cs="Arial"/>
          <w:sz w:val="22"/>
          <w:szCs w:val="22"/>
        </w:rPr>
        <w:t xml:space="preserve"> </w:t>
      </w:r>
      <w:r w:rsidR="0077410D" w:rsidRPr="00FB1D9B">
        <w:rPr>
          <w:rFonts w:ascii="Arial" w:hAnsi="Arial" w:cs="Arial"/>
          <w:sz w:val="22"/>
          <w:szCs w:val="22"/>
        </w:rPr>
        <w:t>are</w:t>
      </w:r>
      <w:r w:rsidRPr="00FB1D9B">
        <w:rPr>
          <w:rFonts w:ascii="Arial" w:hAnsi="Arial" w:cs="Arial"/>
          <w:sz w:val="22"/>
          <w:szCs w:val="22"/>
        </w:rPr>
        <w:t xml:space="preserve"> considered to be </w:t>
      </w:r>
      <w:r w:rsidR="0077410D" w:rsidRPr="00FB1D9B">
        <w:rPr>
          <w:rFonts w:ascii="Arial" w:hAnsi="Arial" w:cs="Arial"/>
          <w:sz w:val="22"/>
          <w:szCs w:val="22"/>
        </w:rPr>
        <w:t>“</w:t>
      </w:r>
      <w:r w:rsidRPr="00FB1D9B">
        <w:rPr>
          <w:rFonts w:ascii="Arial" w:hAnsi="Arial" w:cs="Arial"/>
          <w:sz w:val="22"/>
          <w:szCs w:val="22"/>
        </w:rPr>
        <w:t>importan</w:t>
      </w:r>
      <w:r w:rsidR="0077410D" w:rsidRPr="00FB1D9B">
        <w:rPr>
          <w:rFonts w:ascii="Arial" w:hAnsi="Arial" w:cs="Arial"/>
          <w:sz w:val="22"/>
          <w:szCs w:val="22"/>
        </w:rPr>
        <w:t>t” to the Bank’s operations</w:t>
      </w:r>
      <w:r w:rsidR="00AA0E20" w:rsidRPr="00FB1D9B">
        <w:rPr>
          <w:rFonts w:ascii="Arial" w:hAnsi="Arial" w:cs="Arial"/>
          <w:sz w:val="22"/>
          <w:szCs w:val="22"/>
        </w:rPr>
        <w:t xml:space="preserve"> if,</w:t>
      </w:r>
      <w:r w:rsidR="001654E3" w:rsidRPr="00FB1D9B">
        <w:rPr>
          <w:rFonts w:ascii="Arial" w:hAnsi="Arial" w:cs="Arial"/>
          <w:sz w:val="22"/>
          <w:szCs w:val="22"/>
        </w:rPr>
        <w:t xml:space="preserve"> </w:t>
      </w:r>
      <w:r w:rsidR="00AA0E20" w:rsidRPr="00FB1D9B">
        <w:rPr>
          <w:rFonts w:ascii="Arial" w:hAnsi="Arial" w:cs="Arial"/>
          <w:sz w:val="22"/>
          <w:szCs w:val="22"/>
        </w:rPr>
        <w:t>i</w:t>
      </w:r>
      <w:r w:rsidRPr="00FB1D9B">
        <w:rPr>
          <w:rFonts w:ascii="Arial" w:hAnsi="Arial" w:cs="Arial"/>
          <w:sz w:val="22"/>
          <w:szCs w:val="22"/>
        </w:rPr>
        <w:t xml:space="preserve">n the event of a failure by the </w:t>
      </w:r>
      <w:r w:rsidR="001C0F21" w:rsidRPr="00FB1D9B">
        <w:rPr>
          <w:rFonts w:ascii="Arial" w:hAnsi="Arial" w:cs="Arial"/>
          <w:sz w:val="22"/>
          <w:szCs w:val="22"/>
        </w:rPr>
        <w:t>v</w:t>
      </w:r>
      <w:r w:rsidRPr="00FB1D9B">
        <w:rPr>
          <w:rFonts w:ascii="Arial" w:hAnsi="Arial" w:cs="Arial"/>
          <w:sz w:val="22"/>
          <w:szCs w:val="22"/>
        </w:rPr>
        <w:t xml:space="preserve">endor, the Bank would </w:t>
      </w:r>
      <w:r w:rsidR="00AA0E20" w:rsidRPr="00FB1D9B">
        <w:rPr>
          <w:rFonts w:ascii="Arial" w:hAnsi="Arial" w:cs="Arial"/>
          <w:sz w:val="22"/>
          <w:szCs w:val="22"/>
        </w:rPr>
        <w:t xml:space="preserve">still </w:t>
      </w:r>
      <w:r w:rsidRPr="00FB1D9B">
        <w:rPr>
          <w:rFonts w:ascii="Arial" w:hAnsi="Arial" w:cs="Arial"/>
          <w:sz w:val="22"/>
          <w:szCs w:val="22"/>
        </w:rPr>
        <w:t>be able to</w:t>
      </w:r>
      <w:r w:rsidR="001C0F21" w:rsidRPr="00FB1D9B">
        <w:rPr>
          <w:rFonts w:ascii="Arial" w:hAnsi="Arial" w:cs="Arial"/>
          <w:sz w:val="22"/>
          <w:szCs w:val="22"/>
        </w:rPr>
        <w:t xml:space="preserve"> (1) o</w:t>
      </w:r>
      <w:r w:rsidRPr="00FB1D9B">
        <w:rPr>
          <w:rFonts w:ascii="Arial" w:hAnsi="Arial" w:cs="Arial"/>
          <w:sz w:val="22"/>
          <w:szCs w:val="22"/>
        </w:rPr>
        <w:t xml:space="preserve">perate at </w:t>
      </w:r>
      <w:r w:rsidR="00AA0E20" w:rsidRPr="00FB1D9B">
        <w:rPr>
          <w:rFonts w:ascii="Arial" w:hAnsi="Arial" w:cs="Arial"/>
          <w:sz w:val="22"/>
          <w:szCs w:val="22"/>
        </w:rPr>
        <w:t>a minimum acceptable level</w:t>
      </w:r>
      <w:r w:rsidRPr="00FB1D9B">
        <w:rPr>
          <w:rFonts w:ascii="Arial" w:hAnsi="Arial" w:cs="Arial"/>
          <w:sz w:val="22"/>
          <w:szCs w:val="22"/>
        </w:rPr>
        <w:t xml:space="preserve"> of service or </w:t>
      </w:r>
      <w:r w:rsidR="001C0F21" w:rsidRPr="00FB1D9B">
        <w:rPr>
          <w:rFonts w:ascii="Arial" w:hAnsi="Arial" w:cs="Arial"/>
          <w:sz w:val="22"/>
          <w:szCs w:val="22"/>
        </w:rPr>
        <w:t xml:space="preserve">(2) </w:t>
      </w:r>
      <w:r w:rsidRPr="00FB1D9B">
        <w:rPr>
          <w:rFonts w:ascii="Arial" w:hAnsi="Arial" w:cs="Arial"/>
          <w:sz w:val="22"/>
          <w:szCs w:val="22"/>
        </w:rPr>
        <w:t xml:space="preserve">have readily available </w:t>
      </w:r>
      <w:r w:rsidR="00AA0E20" w:rsidRPr="00FB1D9B">
        <w:rPr>
          <w:rFonts w:ascii="Arial" w:hAnsi="Arial" w:cs="Arial"/>
          <w:sz w:val="22"/>
          <w:szCs w:val="22"/>
        </w:rPr>
        <w:t xml:space="preserve">an </w:t>
      </w:r>
      <w:r w:rsidRPr="00FB1D9B">
        <w:rPr>
          <w:rFonts w:ascii="Arial" w:hAnsi="Arial" w:cs="Arial"/>
          <w:sz w:val="22"/>
          <w:szCs w:val="22"/>
        </w:rPr>
        <w:t>acceptable alternative means to process transactions or provide management information and service</w:t>
      </w:r>
      <w:r w:rsidR="00AA0E20" w:rsidRPr="00FB1D9B">
        <w:rPr>
          <w:rFonts w:ascii="Arial" w:hAnsi="Arial" w:cs="Arial"/>
          <w:sz w:val="22"/>
          <w:szCs w:val="22"/>
        </w:rPr>
        <w:t>,</w:t>
      </w:r>
      <w:r w:rsidRPr="00FB1D9B">
        <w:rPr>
          <w:rFonts w:ascii="Arial" w:hAnsi="Arial" w:cs="Arial"/>
          <w:sz w:val="22"/>
          <w:szCs w:val="22"/>
        </w:rPr>
        <w:t xml:space="preserve"> such that minimal costs or losses are incurred.</w:t>
      </w:r>
    </w:p>
    <w:p w14:paraId="3690524B" w14:textId="77777777" w:rsidR="00A17A28" w:rsidRPr="00BF1873" w:rsidRDefault="00A17A28" w:rsidP="006C6A55">
      <w:pPr>
        <w:pStyle w:val="BodyTextIndent"/>
        <w:ind w:left="0"/>
        <w:rPr>
          <w:rFonts w:ascii="Arial" w:hAnsi="Arial" w:cs="Arial"/>
          <w:sz w:val="16"/>
          <w:szCs w:val="16"/>
        </w:rPr>
      </w:pPr>
    </w:p>
    <w:p w14:paraId="59B1D40C" w14:textId="77777777" w:rsidR="00A17A28" w:rsidRPr="00D731AA" w:rsidRDefault="00A17A28" w:rsidP="003F0521">
      <w:pPr>
        <w:pStyle w:val="BodyTextIndent"/>
        <w:ind w:left="0"/>
        <w:rPr>
          <w:rFonts w:ascii="Arial" w:hAnsi="Arial" w:cs="Arial"/>
          <w:sz w:val="22"/>
          <w:szCs w:val="22"/>
        </w:rPr>
      </w:pPr>
      <w:r w:rsidRPr="00D731AA">
        <w:rPr>
          <w:rFonts w:ascii="Arial" w:hAnsi="Arial" w:cs="Arial"/>
          <w:sz w:val="22"/>
          <w:szCs w:val="22"/>
        </w:rPr>
        <w:t xml:space="preserve">The use of </w:t>
      </w:r>
      <w:r w:rsidR="00F71765" w:rsidRPr="00D731AA">
        <w:rPr>
          <w:rFonts w:ascii="Arial" w:hAnsi="Arial" w:cs="Arial"/>
          <w:sz w:val="22"/>
          <w:szCs w:val="22"/>
        </w:rPr>
        <w:t xml:space="preserve">outside vendors to perform </w:t>
      </w:r>
      <w:r w:rsidR="00F71765" w:rsidRPr="00DD2E9E">
        <w:rPr>
          <w:rFonts w:ascii="Arial" w:hAnsi="Arial" w:cs="Arial"/>
          <w:i/>
          <w:sz w:val="22"/>
          <w:szCs w:val="22"/>
        </w:rPr>
        <w:t>important</w:t>
      </w:r>
      <w:r w:rsidR="00F71765" w:rsidRPr="00D731AA">
        <w:rPr>
          <w:rFonts w:ascii="Arial" w:hAnsi="Arial" w:cs="Arial"/>
          <w:sz w:val="22"/>
          <w:szCs w:val="22"/>
        </w:rPr>
        <w:t xml:space="preserve"> </w:t>
      </w:r>
      <w:r w:rsidRPr="00D731AA">
        <w:rPr>
          <w:rFonts w:ascii="Arial" w:hAnsi="Arial" w:cs="Arial"/>
          <w:sz w:val="22"/>
          <w:szCs w:val="22"/>
        </w:rPr>
        <w:t xml:space="preserve">services may expose the Bank to moderate levels of strategic, </w:t>
      </w:r>
      <w:r w:rsidR="00911CF2">
        <w:rPr>
          <w:rFonts w:ascii="Arial" w:hAnsi="Arial" w:cs="Arial"/>
          <w:sz w:val="22"/>
          <w:szCs w:val="22"/>
        </w:rPr>
        <w:t>operational, or reputation risk</w:t>
      </w:r>
      <w:r w:rsidRPr="00D731AA">
        <w:rPr>
          <w:rFonts w:ascii="Arial" w:hAnsi="Arial" w:cs="Arial"/>
          <w:sz w:val="22"/>
          <w:szCs w:val="22"/>
        </w:rPr>
        <w:t xml:space="preserve">, but the Bank has some degree of control or influence over these risks, or has systems in place to monitor such risks on an ongoing basis. Also, there are available replacements, including other </w:t>
      </w:r>
      <w:r w:rsidR="001C0F21" w:rsidRPr="00D731AA">
        <w:rPr>
          <w:rFonts w:ascii="Arial" w:hAnsi="Arial" w:cs="Arial"/>
          <w:sz w:val="22"/>
          <w:szCs w:val="22"/>
        </w:rPr>
        <w:t>v</w:t>
      </w:r>
      <w:r w:rsidRPr="00D731AA">
        <w:rPr>
          <w:rFonts w:ascii="Arial" w:hAnsi="Arial" w:cs="Arial"/>
          <w:sz w:val="22"/>
          <w:szCs w:val="22"/>
        </w:rPr>
        <w:t xml:space="preserve">endors, or </w:t>
      </w:r>
      <w:r w:rsidR="001C0F21" w:rsidRPr="00D731AA">
        <w:rPr>
          <w:rFonts w:ascii="Arial" w:hAnsi="Arial" w:cs="Arial"/>
          <w:sz w:val="22"/>
          <w:szCs w:val="22"/>
        </w:rPr>
        <w:t xml:space="preserve">alternatives </w:t>
      </w:r>
      <w:r w:rsidRPr="00D731AA">
        <w:rPr>
          <w:rFonts w:ascii="Arial" w:hAnsi="Arial" w:cs="Arial"/>
          <w:sz w:val="22"/>
          <w:szCs w:val="22"/>
        </w:rPr>
        <w:t>for such services</w:t>
      </w:r>
      <w:r w:rsidR="00911CF2">
        <w:rPr>
          <w:rFonts w:ascii="Arial" w:hAnsi="Arial" w:cs="Arial"/>
          <w:sz w:val="22"/>
          <w:szCs w:val="22"/>
        </w:rPr>
        <w:t>,</w:t>
      </w:r>
      <w:r w:rsidRPr="00D731AA">
        <w:rPr>
          <w:rFonts w:ascii="Arial" w:hAnsi="Arial" w:cs="Arial"/>
          <w:sz w:val="22"/>
          <w:szCs w:val="22"/>
        </w:rPr>
        <w:t xml:space="preserve"> </w:t>
      </w:r>
      <w:r w:rsidR="00911CF2">
        <w:rPr>
          <w:rFonts w:ascii="Arial" w:hAnsi="Arial" w:cs="Arial"/>
          <w:sz w:val="22"/>
          <w:szCs w:val="22"/>
        </w:rPr>
        <w:t>to</w:t>
      </w:r>
      <w:r w:rsidRPr="00D731AA">
        <w:rPr>
          <w:rFonts w:ascii="Arial" w:hAnsi="Arial" w:cs="Arial"/>
          <w:sz w:val="22"/>
          <w:szCs w:val="22"/>
        </w:rPr>
        <w:t xml:space="preserve"> ensure the continuity of the Bank’s operations. The </w:t>
      </w:r>
      <w:r w:rsidR="001C0F21" w:rsidRPr="00D731AA">
        <w:rPr>
          <w:rFonts w:ascii="Arial" w:hAnsi="Arial" w:cs="Arial"/>
          <w:sz w:val="22"/>
          <w:szCs w:val="22"/>
        </w:rPr>
        <w:t>v</w:t>
      </w:r>
      <w:r w:rsidRPr="00D731AA">
        <w:rPr>
          <w:rFonts w:ascii="Arial" w:hAnsi="Arial" w:cs="Arial"/>
          <w:sz w:val="22"/>
          <w:szCs w:val="22"/>
        </w:rPr>
        <w:t xml:space="preserve">endor’s business may be subject to moderate levels of credit risk or other financial risk. The </w:t>
      </w:r>
      <w:r w:rsidR="00DD2E9E">
        <w:rPr>
          <w:rFonts w:ascii="Arial" w:hAnsi="Arial" w:cs="Arial"/>
          <w:sz w:val="22"/>
          <w:szCs w:val="22"/>
        </w:rPr>
        <w:t>important</w:t>
      </w:r>
      <w:r w:rsidR="00911CF2">
        <w:rPr>
          <w:rFonts w:ascii="Arial" w:hAnsi="Arial" w:cs="Arial"/>
          <w:sz w:val="22"/>
          <w:szCs w:val="22"/>
        </w:rPr>
        <w:t xml:space="preserve"> </w:t>
      </w:r>
      <w:r w:rsidR="001C0F21" w:rsidRPr="00D731AA">
        <w:rPr>
          <w:rFonts w:ascii="Arial" w:hAnsi="Arial" w:cs="Arial"/>
          <w:sz w:val="22"/>
          <w:szCs w:val="22"/>
        </w:rPr>
        <w:t>v</w:t>
      </w:r>
      <w:r w:rsidRPr="00D731AA">
        <w:rPr>
          <w:rFonts w:ascii="Arial" w:hAnsi="Arial" w:cs="Arial"/>
          <w:sz w:val="22"/>
          <w:szCs w:val="22"/>
        </w:rPr>
        <w:t xml:space="preserve">endor does not collect and remit payments on behalf of the Bank, or does so only </w:t>
      </w:r>
      <w:r w:rsidR="00F71765" w:rsidRPr="00D731AA">
        <w:rPr>
          <w:rFonts w:ascii="Arial" w:hAnsi="Arial" w:cs="Arial"/>
          <w:sz w:val="22"/>
          <w:szCs w:val="22"/>
        </w:rPr>
        <w:t>on a limited basis</w:t>
      </w:r>
      <w:r w:rsidR="00DD2E9E">
        <w:rPr>
          <w:rFonts w:ascii="Arial" w:hAnsi="Arial" w:cs="Arial"/>
          <w:sz w:val="22"/>
          <w:szCs w:val="22"/>
        </w:rPr>
        <w:t>,</w:t>
      </w:r>
      <w:r w:rsidRPr="00D731AA">
        <w:rPr>
          <w:rFonts w:ascii="Arial" w:hAnsi="Arial" w:cs="Arial"/>
          <w:sz w:val="22"/>
          <w:szCs w:val="22"/>
        </w:rPr>
        <w:t xml:space="preserve"> exposing the Bank to minimal operational, interest rate, and market or liquidity risk. Similarly, the </w:t>
      </w:r>
      <w:r w:rsidR="001C0F21" w:rsidRPr="00D731AA">
        <w:rPr>
          <w:rFonts w:ascii="Arial" w:hAnsi="Arial" w:cs="Arial"/>
          <w:sz w:val="22"/>
          <w:szCs w:val="22"/>
        </w:rPr>
        <w:t>v</w:t>
      </w:r>
      <w:r w:rsidRPr="00D731AA">
        <w:rPr>
          <w:rFonts w:ascii="Arial" w:hAnsi="Arial" w:cs="Arial"/>
          <w:sz w:val="22"/>
          <w:szCs w:val="22"/>
        </w:rPr>
        <w:t>endor may have access to or possession of only limited confide</w:t>
      </w:r>
      <w:r w:rsidR="00911CF2">
        <w:rPr>
          <w:rFonts w:ascii="Arial" w:hAnsi="Arial" w:cs="Arial"/>
          <w:sz w:val="22"/>
          <w:szCs w:val="22"/>
        </w:rPr>
        <w:t xml:space="preserve">ntial customer data. </w:t>
      </w:r>
      <w:r w:rsidR="00F6117F">
        <w:rPr>
          <w:rFonts w:ascii="Arial" w:hAnsi="Arial" w:cs="Arial"/>
          <w:sz w:val="22"/>
          <w:szCs w:val="22"/>
        </w:rPr>
        <w:t xml:space="preserve"> </w:t>
      </w:r>
      <w:r w:rsidR="00911CF2">
        <w:rPr>
          <w:rFonts w:ascii="Arial" w:hAnsi="Arial" w:cs="Arial"/>
          <w:sz w:val="22"/>
          <w:szCs w:val="22"/>
        </w:rPr>
        <w:t>Acceptable</w:t>
      </w:r>
      <w:r w:rsidRPr="00D731AA">
        <w:rPr>
          <w:rFonts w:ascii="Arial" w:hAnsi="Arial" w:cs="Arial"/>
          <w:sz w:val="22"/>
          <w:szCs w:val="22"/>
        </w:rPr>
        <w:t xml:space="preserve"> minimal </w:t>
      </w:r>
      <w:r w:rsidR="00DD2E9E">
        <w:rPr>
          <w:rFonts w:ascii="Arial" w:hAnsi="Arial" w:cs="Arial"/>
          <w:sz w:val="22"/>
          <w:szCs w:val="22"/>
        </w:rPr>
        <w:t>hard/soft</w:t>
      </w:r>
      <w:r w:rsidRPr="00D731AA">
        <w:rPr>
          <w:rFonts w:ascii="Arial" w:hAnsi="Arial" w:cs="Arial"/>
          <w:sz w:val="22"/>
          <w:szCs w:val="22"/>
        </w:rPr>
        <w:t xml:space="preserve"> dollar losses could be incurred from the </w:t>
      </w:r>
      <w:r w:rsidR="001C0F21" w:rsidRPr="00D731AA">
        <w:rPr>
          <w:rFonts w:ascii="Arial" w:hAnsi="Arial" w:cs="Arial"/>
          <w:sz w:val="22"/>
          <w:szCs w:val="22"/>
        </w:rPr>
        <w:t>v</w:t>
      </w:r>
      <w:r w:rsidRPr="00D731AA">
        <w:rPr>
          <w:rFonts w:ascii="Arial" w:hAnsi="Arial" w:cs="Arial"/>
          <w:sz w:val="22"/>
          <w:szCs w:val="22"/>
        </w:rPr>
        <w:t>endor’s failure to adequately manage risk.</w:t>
      </w:r>
    </w:p>
    <w:p w14:paraId="1620B12B" w14:textId="77777777" w:rsidR="00A17A28" w:rsidRPr="003E220E" w:rsidRDefault="00A17A28" w:rsidP="003F0521">
      <w:pPr>
        <w:rPr>
          <w:rFonts w:ascii="Arial" w:hAnsi="Arial" w:cs="Arial"/>
          <w:sz w:val="16"/>
          <w:szCs w:val="16"/>
        </w:rPr>
      </w:pPr>
    </w:p>
    <w:p w14:paraId="7F398C2B" w14:textId="77777777" w:rsidR="00A17A28" w:rsidRPr="00D731AA" w:rsidRDefault="00A17A28" w:rsidP="00E12BA4">
      <w:pPr>
        <w:pStyle w:val="ListBullet2"/>
      </w:pPr>
      <w:r w:rsidRPr="003F0521">
        <w:rPr>
          <w:b/>
          <w:u w:val="single"/>
        </w:rPr>
        <w:t>Incidental</w:t>
      </w:r>
      <w:r w:rsidRPr="00D731AA">
        <w:t xml:space="preserve"> – Services </w:t>
      </w:r>
      <w:r w:rsidR="00F71765" w:rsidRPr="00D731AA">
        <w:t xml:space="preserve">provided by </w:t>
      </w:r>
      <w:r w:rsidR="00D049DF">
        <w:t>the vendor</w:t>
      </w:r>
      <w:r w:rsidRPr="00D731AA">
        <w:t xml:space="preserve"> </w:t>
      </w:r>
      <w:r w:rsidR="0056315D">
        <w:t>are</w:t>
      </w:r>
      <w:r w:rsidRPr="00D731AA">
        <w:t xml:space="preserve"> considered </w:t>
      </w:r>
      <w:r w:rsidR="0056315D">
        <w:t>“</w:t>
      </w:r>
      <w:r w:rsidRPr="00D731AA">
        <w:t>incidental</w:t>
      </w:r>
      <w:r w:rsidR="0056315D">
        <w:t>”</w:t>
      </w:r>
      <w:r w:rsidRPr="00D731AA">
        <w:t xml:space="preserve"> to the Bank’s operations </w:t>
      </w:r>
      <w:r w:rsidR="00D049DF">
        <w:t xml:space="preserve">when </w:t>
      </w:r>
      <w:r w:rsidRPr="00D731AA">
        <w:t>the Ba</w:t>
      </w:r>
      <w:r w:rsidR="00D049DF">
        <w:t>nk would have readily available</w:t>
      </w:r>
      <w:r w:rsidRPr="00D731AA">
        <w:t xml:space="preserve"> (1) an acceptable alternative vendor</w:t>
      </w:r>
      <w:r w:rsidR="00D049DF">
        <w:t>,</w:t>
      </w:r>
      <w:r w:rsidRPr="00D731AA">
        <w:t xml:space="preserve"> or (2) an adequate, alternative means to process transactions or provide management information and service</w:t>
      </w:r>
      <w:r w:rsidR="00D049DF">
        <w:t>;</w:t>
      </w:r>
      <w:r w:rsidRPr="00D731AA">
        <w:t xml:space="preserve"> or would be able to</w:t>
      </w:r>
      <w:r w:rsidR="001654E3">
        <w:t xml:space="preserve"> </w:t>
      </w:r>
      <w:r w:rsidR="00CF7C11" w:rsidRPr="00D731AA">
        <w:t xml:space="preserve">(1) </w:t>
      </w:r>
      <w:r w:rsidR="003A726E">
        <w:t>o</w:t>
      </w:r>
      <w:r w:rsidRPr="00D731AA">
        <w:t>perate at acceptable levels of service with little or no risk of financial loss, or</w:t>
      </w:r>
      <w:r w:rsidR="00CF7C11" w:rsidRPr="00D731AA">
        <w:t xml:space="preserve"> (2) </w:t>
      </w:r>
      <w:r w:rsidR="003A726E">
        <w:t>d</w:t>
      </w:r>
      <w:r w:rsidRPr="00D731AA">
        <w:t>eliver minimally acceptable levels of customer service.</w:t>
      </w:r>
    </w:p>
    <w:p w14:paraId="5DC34DBF" w14:textId="77777777" w:rsidR="00A17A28" w:rsidRPr="00D731AA" w:rsidRDefault="00A17A28" w:rsidP="00E12BA4">
      <w:pPr>
        <w:pStyle w:val="BodyTextIndent"/>
        <w:ind w:left="0" w:right="-72"/>
        <w:rPr>
          <w:rFonts w:ascii="Arial" w:hAnsi="Arial" w:cs="Arial"/>
          <w:sz w:val="22"/>
          <w:szCs w:val="22"/>
        </w:rPr>
      </w:pPr>
      <w:r w:rsidRPr="00D731AA">
        <w:rPr>
          <w:rFonts w:ascii="Arial" w:hAnsi="Arial" w:cs="Arial"/>
          <w:sz w:val="22"/>
          <w:szCs w:val="22"/>
        </w:rPr>
        <w:t xml:space="preserve">The use of </w:t>
      </w:r>
      <w:r w:rsidR="00F71765" w:rsidRPr="00D731AA">
        <w:rPr>
          <w:rFonts w:ascii="Arial" w:hAnsi="Arial" w:cs="Arial"/>
          <w:sz w:val="22"/>
          <w:szCs w:val="22"/>
        </w:rPr>
        <w:t xml:space="preserve">vendors to perform incidental </w:t>
      </w:r>
      <w:r w:rsidRPr="00D731AA">
        <w:rPr>
          <w:rFonts w:ascii="Arial" w:hAnsi="Arial" w:cs="Arial"/>
          <w:sz w:val="22"/>
          <w:szCs w:val="22"/>
        </w:rPr>
        <w:t>services exposes the Bank to minimal levels of strategic, operational or reputation risk</w:t>
      </w:r>
      <w:r w:rsidR="00D049DF">
        <w:rPr>
          <w:rFonts w:ascii="Arial" w:hAnsi="Arial" w:cs="Arial"/>
          <w:sz w:val="22"/>
          <w:szCs w:val="22"/>
        </w:rPr>
        <w:t>,</w:t>
      </w:r>
      <w:r w:rsidRPr="00D731AA">
        <w:rPr>
          <w:rFonts w:ascii="Arial" w:hAnsi="Arial" w:cs="Arial"/>
          <w:sz w:val="22"/>
          <w:szCs w:val="22"/>
        </w:rPr>
        <w:t xml:space="preserve"> or the Bank has significant control or influence over these risks, or has comprehensive systems in place to monitor such risks on an ongoing basis. Also, there are </w:t>
      </w:r>
      <w:r w:rsidR="00CF7C11" w:rsidRPr="00D731AA">
        <w:rPr>
          <w:rFonts w:ascii="Arial" w:hAnsi="Arial" w:cs="Arial"/>
          <w:sz w:val="22"/>
          <w:szCs w:val="22"/>
        </w:rPr>
        <w:t>i</w:t>
      </w:r>
      <w:r w:rsidRPr="00D731AA">
        <w:rPr>
          <w:rFonts w:ascii="Arial" w:hAnsi="Arial" w:cs="Arial"/>
          <w:sz w:val="22"/>
          <w:szCs w:val="22"/>
        </w:rPr>
        <w:t xml:space="preserve">mmediately available replacement </w:t>
      </w:r>
      <w:r w:rsidR="00CF7C11" w:rsidRPr="00D731AA">
        <w:rPr>
          <w:rFonts w:ascii="Arial" w:hAnsi="Arial" w:cs="Arial"/>
          <w:sz w:val="22"/>
          <w:szCs w:val="22"/>
        </w:rPr>
        <w:t>v</w:t>
      </w:r>
      <w:r w:rsidRPr="00D731AA">
        <w:rPr>
          <w:rFonts w:ascii="Arial" w:hAnsi="Arial" w:cs="Arial"/>
          <w:sz w:val="22"/>
          <w:szCs w:val="22"/>
        </w:rPr>
        <w:t>endors, or back-up</w:t>
      </w:r>
      <w:r w:rsidR="00CF7C11" w:rsidRPr="00D731AA">
        <w:rPr>
          <w:rFonts w:ascii="Arial" w:hAnsi="Arial" w:cs="Arial"/>
          <w:sz w:val="22"/>
          <w:szCs w:val="22"/>
        </w:rPr>
        <w:t xml:space="preserve"> alternative</w:t>
      </w:r>
      <w:r w:rsidRPr="00D731AA">
        <w:rPr>
          <w:rFonts w:ascii="Arial" w:hAnsi="Arial" w:cs="Arial"/>
          <w:sz w:val="22"/>
          <w:szCs w:val="22"/>
        </w:rPr>
        <w:t xml:space="preserve">s for such services that ensure the continuity of the Bank’s operations. The </w:t>
      </w:r>
      <w:r w:rsidR="00CF7C11" w:rsidRPr="00D731AA">
        <w:rPr>
          <w:rFonts w:ascii="Arial" w:hAnsi="Arial" w:cs="Arial"/>
          <w:sz w:val="22"/>
          <w:szCs w:val="22"/>
        </w:rPr>
        <w:t>v</w:t>
      </w:r>
      <w:r w:rsidRPr="00D731AA">
        <w:rPr>
          <w:rFonts w:ascii="Arial" w:hAnsi="Arial" w:cs="Arial"/>
          <w:sz w:val="22"/>
          <w:szCs w:val="22"/>
        </w:rPr>
        <w:t xml:space="preserve">endor’s business is subject to minimal levels of credit risk or other financial risk. The </w:t>
      </w:r>
      <w:r w:rsidR="00CF7C11" w:rsidRPr="00D731AA">
        <w:rPr>
          <w:rFonts w:ascii="Arial" w:hAnsi="Arial" w:cs="Arial"/>
          <w:sz w:val="22"/>
          <w:szCs w:val="22"/>
        </w:rPr>
        <w:t>v</w:t>
      </w:r>
      <w:r w:rsidRPr="00D731AA">
        <w:rPr>
          <w:rFonts w:ascii="Arial" w:hAnsi="Arial" w:cs="Arial"/>
          <w:sz w:val="22"/>
          <w:szCs w:val="22"/>
        </w:rPr>
        <w:t xml:space="preserve">endor does not collect and remit payments on behalf of the Bank, exposing the Bank to little or no operational, interest-rate, market or liquidity risk. </w:t>
      </w:r>
      <w:r w:rsidR="007A0BB5">
        <w:rPr>
          <w:rFonts w:ascii="Arial" w:hAnsi="Arial" w:cs="Arial"/>
          <w:sz w:val="22"/>
          <w:szCs w:val="22"/>
        </w:rPr>
        <w:t xml:space="preserve"> </w:t>
      </w:r>
      <w:r w:rsidRPr="00D731AA">
        <w:rPr>
          <w:rFonts w:ascii="Arial" w:hAnsi="Arial" w:cs="Arial"/>
          <w:sz w:val="22"/>
          <w:szCs w:val="22"/>
        </w:rPr>
        <w:t xml:space="preserve">The </w:t>
      </w:r>
      <w:r w:rsidR="00CF7C11" w:rsidRPr="00D731AA">
        <w:rPr>
          <w:rFonts w:ascii="Arial" w:hAnsi="Arial" w:cs="Arial"/>
          <w:sz w:val="22"/>
          <w:szCs w:val="22"/>
        </w:rPr>
        <w:t>v</w:t>
      </w:r>
      <w:r w:rsidRPr="00D731AA">
        <w:rPr>
          <w:rFonts w:ascii="Arial" w:hAnsi="Arial" w:cs="Arial"/>
          <w:sz w:val="22"/>
          <w:szCs w:val="22"/>
        </w:rPr>
        <w:t xml:space="preserve">endor does not have access to or possession of confidential customer data, or only incidentally, as part of completing one-by-one transactions. </w:t>
      </w:r>
      <w:r w:rsidR="007A0BB5">
        <w:rPr>
          <w:rFonts w:ascii="Arial" w:hAnsi="Arial" w:cs="Arial"/>
          <w:sz w:val="22"/>
          <w:szCs w:val="22"/>
        </w:rPr>
        <w:t xml:space="preserve"> </w:t>
      </w:r>
      <w:r w:rsidRPr="00D731AA">
        <w:rPr>
          <w:rFonts w:ascii="Arial" w:hAnsi="Arial" w:cs="Arial"/>
          <w:sz w:val="22"/>
          <w:szCs w:val="22"/>
        </w:rPr>
        <w:t xml:space="preserve">Little or no </w:t>
      </w:r>
      <w:r w:rsidR="00D049DF">
        <w:rPr>
          <w:rFonts w:ascii="Arial" w:hAnsi="Arial" w:cs="Arial"/>
          <w:sz w:val="22"/>
          <w:szCs w:val="22"/>
        </w:rPr>
        <w:t>hard</w:t>
      </w:r>
      <w:r w:rsidRPr="00D731AA">
        <w:rPr>
          <w:rFonts w:ascii="Arial" w:hAnsi="Arial" w:cs="Arial"/>
          <w:sz w:val="22"/>
          <w:szCs w:val="22"/>
        </w:rPr>
        <w:t xml:space="preserve"> dollar </w:t>
      </w:r>
      <w:r w:rsidR="001654E3" w:rsidRPr="00D731AA">
        <w:rPr>
          <w:rFonts w:ascii="Arial" w:hAnsi="Arial" w:cs="Arial"/>
          <w:sz w:val="22"/>
          <w:szCs w:val="22"/>
        </w:rPr>
        <w:t>losses</w:t>
      </w:r>
      <w:r w:rsidR="00D049DF">
        <w:rPr>
          <w:rFonts w:ascii="Arial" w:hAnsi="Arial" w:cs="Arial"/>
          <w:sz w:val="22"/>
          <w:szCs w:val="22"/>
        </w:rPr>
        <w:t xml:space="preserve"> and minimal, acceptable soft</w:t>
      </w:r>
      <w:r w:rsidRPr="00D731AA">
        <w:rPr>
          <w:rFonts w:ascii="Arial" w:hAnsi="Arial" w:cs="Arial"/>
          <w:sz w:val="22"/>
          <w:szCs w:val="22"/>
        </w:rPr>
        <w:t xml:space="preserve"> dollar losses would be incurred from the </w:t>
      </w:r>
      <w:r w:rsidR="00CF7C11" w:rsidRPr="00D731AA">
        <w:rPr>
          <w:rFonts w:ascii="Arial" w:hAnsi="Arial" w:cs="Arial"/>
          <w:sz w:val="22"/>
          <w:szCs w:val="22"/>
        </w:rPr>
        <w:t>v</w:t>
      </w:r>
      <w:r w:rsidRPr="00D731AA">
        <w:rPr>
          <w:rFonts w:ascii="Arial" w:hAnsi="Arial" w:cs="Arial"/>
          <w:sz w:val="22"/>
          <w:szCs w:val="22"/>
        </w:rPr>
        <w:t>endor’s failure to adequately manage risk.</w:t>
      </w:r>
    </w:p>
    <w:p w14:paraId="288A899B" w14:textId="77777777" w:rsidR="0096789B" w:rsidRPr="00CE3B9C" w:rsidRDefault="0096789B" w:rsidP="0075781F">
      <w:pPr>
        <w:pStyle w:val="BodyTextIndent"/>
        <w:ind w:left="0"/>
        <w:rPr>
          <w:rFonts w:ascii="Arial" w:hAnsi="Arial" w:cs="Arial"/>
          <w:sz w:val="22"/>
          <w:szCs w:val="22"/>
        </w:rPr>
      </w:pPr>
    </w:p>
    <w:p w14:paraId="65CDC464" w14:textId="77777777" w:rsidR="00CF7C11" w:rsidRPr="00D731AA" w:rsidRDefault="007A72BC" w:rsidP="00F4599F">
      <w:pPr>
        <w:rPr>
          <w:rFonts w:ascii="Arial" w:hAnsi="Arial" w:cs="Arial"/>
          <w:b/>
          <w:sz w:val="22"/>
          <w:szCs w:val="22"/>
        </w:rPr>
      </w:pPr>
      <w:r w:rsidRPr="00D731AA">
        <w:rPr>
          <w:rFonts w:ascii="Arial" w:hAnsi="Arial" w:cs="Arial"/>
          <w:b/>
          <w:sz w:val="22"/>
          <w:szCs w:val="22"/>
        </w:rPr>
        <w:t>Critical</w:t>
      </w:r>
      <w:r w:rsidR="00CF7C11" w:rsidRPr="00D731AA">
        <w:rPr>
          <w:rFonts w:ascii="Arial" w:hAnsi="Arial" w:cs="Arial"/>
          <w:b/>
          <w:sz w:val="22"/>
          <w:szCs w:val="22"/>
        </w:rPr>
        <w:t xml:space="preserve"> Service Vendor</w:t>
      </w:r>
      <w:r w:rsidR="003724E7" w:rsidRPr="00D731AA">
        <w:rPr>
          <w:rFonts w:ascii="Arial" w:hAnsi="Arial" w:cs="Arial"/>
          <w:b/>
          <w:sz w:val="22"/>
          <w:szCs w:val="22"/>
        </w:rPr>
        <w:t xml:space="preserve"> As</w:t>
      </w:r>
      <w:r w:rsidR="00CF7C11" w:rsidRPr="00D731AA">
        <w:rPr>
          <w:rFonts w:ascii="Arial" w:hAnsi="Arial" w:cs="Arial"/>
          <w:b/>
          <w:sz w:val="22"/>
          <w:szCs w:val="22"/>
        </w:rPr>
        <w:t>s</w:t>
      </w:r>
      <w:r w:rsidR="003724E7" w:rsidRPr="00D731AA">
        <w:rPr>
          <w:rFonts w:ascii="Arial" w:hAnsi="Arial" w:cs="Arial"/>
          <w:b/>
          <w:sz w:val="22"/>
          <w:szCs w:val="22"/>
        </w:rPr>
        <w:t>essment</w:t>
      </w:r>
    </w:p>
    <w:p w14:paraId="21F41C4D" w14:textId="77777777" w:rsidR="00CF7C11" w:rsidRPr="00BF1873" w:rsidRDefault="00CF7C11" w:rsidP="00F4599F">
      <w:pPr>
        <w:rPr>
          <w:rFonts w:ascii="Arial" w:hAnsi="Arial" w:cs="Arial"/>
          <w:sz w:val="16"/>
          <w:szCs w:val="16"/>
        </w:rPr>
      </w:pPr>
    </w:p>
    <w:p w14:paraId="2CEE85FF" w14:textId="77777777" w:rsidR="004D0921" w:rsidRDefault="00A17A28" w:rsidP="00D4702D">
      <w:pPr>
        <w:ind w:right="-162"/>
        <w:rPr>
          <w:rFonts w:ascii="Arial" w:hAnsi="Arial" w:cs="Arial"/>
          <w:sz w:val="22"/>
          <w:szCs w:val="22"/>
        </w:rPr>
      </w:pPr>
      <w:r w:rsidRPr="00D731AA">
        <w:rPr>
          <w:rFonts w:ascii="Arial" w:hAnsi="Arial" w:cs="Arial"/>
          <w:sz w:val="22"/>
          <w:szCs w:val="22"/>
        </w:rPr>
        <w:t xml:space="preserve">Before entering into a contract with a </w:t>
      </w:r>
      <w:r w:rsidR="00CF7C11" w:rsidRPr="00D731AA">
        <w:rPr>
          <w:rFonts w:ascii="Arial" w:hAnsi="Arial" w:cs="Arial"/>
          <w:sz w:val="22"/>
          <w:szCs w:val="22"/>
        </w:rPr>
        <w:t>v</w:t>
      </w:r>
      <w:r w:rsidRPr="00D731AA">
        <w:rPr>
          <w:rFonts w:ascii="Arial" w:hAnsi="Arial" w:cs="Arial"/>
          <w:sz w:val="22"/>
          <w:szCs w:val="22"/>
        </w:rPr>
        <w:t xml:space="preserve">endor for a </w:t>
      </w:r>
      <w:r w:rsidR="007A72BC" w:rsidRPr="005B7191">
        <w:rPr>
          <w:rFonts w:ascii="Arial" w:hAnsi="Arial" w:cs="Arial"/>
          <w:sz w:val="22"/>
          <w:szCs w:val="22"/>
        </w:rPr>
        <w:t>critica</w:t>
      </w:r>
      <w:r w:rsidR="007A72BC" w:rsidRPr="00D731AA">
        <w:rPr>
          <w:rFonts w:ascii="Arial" w:hAnsi="Arial" w:cs="Arial"/>
          <w:b/>
          <w:sz w:val="22"/>
          <w:szCs w:val="22"/>
        </w:rPr>
        <w:t>l</w:t>
      </w:r>
      <w:r w:rsidRPr="00D731AA">
        <w:rPr>
          <w:rFonts w:ascii="Arial" w:hAnsi="Arial" w:cs="Arial"/>
          <w:sz w:val="22"/>
          <w:szCs w:val="22"/>
        </w:rPr>
        <w:t xml:space="preserve"> service, the key risks </w:t>
      </w:r>
      <w:r w:rsidR="00A16A9D" w:rsidRPr="00D731AA">
        <w:rPr>
          <w:rFonts w:ascii="Arial" w:hAnsi="Arial" w:cs="Arial"/>
          <w:sz w:val="22"/>
          <w:szCs w:val="22"/>
        </w:rPr>
        <w:t xml:space="preserve">and the options for </w:t>
      </w:r>
      <w:r w:rsidRPr="00D731AA">
        <w:rPr>
          <w:rFonts w:ascii="Arial" w:hAnsi="Arial" w:cs="Arial"/>
          <w:sz w:val="22"/>
          <w:szCs w:val="22"/>
        </w:rPr>
        <w:t>controlling the</w:t>
      </w:r>
      <w:r w:rsidR="00A16A9D" w:rsidRPr="00D731AA">
        <w:rPr>
          <w:rFonts w:ascii="Arial" w:hAnsi="Arial" w:cs="Arial"/>
          <w:sz w:val="22"/>
          <w:szCs w:val="22"/>
        </w:rPr>
        <w:t xml:space="preserve"> key</w:t>
      </w:r>
      <w:r w:rsidRPr="00D731AA">
        <w:rPr>
          <w:rFonts w:ascii="Arial" w:hAnsi="Arial" w:cs="Arial"/>
          <w:sz w:val="22"/>
          <w:szCs w:val="22"/>
        </w:rPr>
        <w:t xml:space="preserve"> risks</w:t>
      </w:r>
      <w:r w:rsidR="00A16A9D" w:rsidRPr="00D731AA">
        <w:rPr>
          <w:rFonts w:ascii="Arial" w:hAnsi="Arial" w:cs="Arial"/>
          <w:sz w:val="22"/>
          <w:szCs w:val="22"/>
        </w:rPr>
        <w:t xml:space="preserve"> will be assessed.</w:t>
      </w:r>
      <w:r w:rsidRPr="00D731AA">
        <w:rPr>
          <w:rFonts w:ascii="Arial" w:hAnsi="Arial" w:cs="Arial"/>
          <w:sz w:val="22"/>
          <w:szCs w:val="22"/>
        </w:rPr>
        <w:t xml:space="preserve"> </w:t>
      </w:r>
      <w:r w:rsidR="00CE3B9C">
        <w:rPr>
          <w:rFonts w:ascii="Arial" w:hAnsi="Arial" w:cs="Arial"/>
          <w:sz w:val="22"/>
          <w:szCs w:val="22"/>
        </w:rPr>
        <w:t xml:space="preserve"> </w:t>
      </w:r>
      <w:r w:rsidRPr="00D731AA">
        <w:rPr>
          <w:rFonts w:ascii="Arial" w:hAnsi="Arial" w:cs="Arial"/>
          <w:sz w:val="22"/>
          <w:szCs w:val="22"/>
        </w:rPr>
        <w:t xml:space="preserve">It is the responsibility of the business unit </w:t>
      </w:r>
      <w:r w:rsidR="00F71765" w:rsidRPr="00D731AA">
        <w:rPr>
          <w:rFonts w:ascii="Arial" w:hAnsi="Arial" w:cs="Arial"/>
          <w:sz w:val="22"/>
          <w:szCs w:val="22"/>
        </w:rPr>
        <w:t>Division Manager</w:t>
      </w:r>
      <w:r w:rsidR="000D3C18">
        <w:rPr>
          <w:rFonts w:ascii="Arial" w:hAnsi="Arial" w:cs="Arial"/>
          <w:sz w:val="22"/>
          <w:szCs w:val="22"/>
        </w:rPr>
        <w:t>,</w:t>
      </w:r>
      <w:r w:rsidR="00F71765" w:rsidRPr="00D731AA">
        <w:rPr>
          <w:rFonts w:ascii="Arial" w:hAnsi="Arial" w:cs="Arial"/>
          <w:sz w:val="22"/>
          <w:szCs w:val="22"/>
        </w:rPr>
        <w:t xml:space="preserve"> </w:t>
      </w:r>
      <w:r w:rsidR="00A16A9D" w:rsidRPr="00D731AA">
        <w:rPr>
          <w:rFonts w:ascii="Arial" w:hAnsi="Arial" w:cs="Arial"/>
          <w:sz w:val="22"/>
          <w:szCs w:val="22"/>
        </w:rPr>
        <w:t>serving as the primary point of contact with the vendor</w:t>
      </w:r>
      <w:r w:rsidR="000D3C18">
        <w:rPr>
          <w:rFonts w:ascii="Arial" w:hAnsi="Arial" w:cs="Arial"/>
          <w:sz w:val="22"/>
          <w:szCs w:val="22"/>
        </w:rPr>
        <w:t>,</w:t>
      </w:r>
      <w:r w:rsidR="00A16A9D" w:rsidRPr="00D731AA">
        <w:rPr>
          <w:rFonts w:ascii="Arial" w:hAnsi="Arial" w:cs="Arial"/>
          <w:sz w:val="22"/>
          <w:szCs w:val="22"/>
        </w:rPr>
        <w:t xml:space="preserve"> to perform and document </w:t>
      </w:r>
      <w:r w:rsidR="00F71765" w:rsidRPr="00D731AA">
        <w:rPr>
          <w:rFonts w:ascii="Arial" w:hAnsi="Arial" w:cs="Arial"/>
          <w:sz w:val="22"/>
          <w:szCs w:val="22"/>
        </w:rPr>
        <w:t xml:space="preserve">the steps taken to </w:t>
      </w:r>
      <w:r w:rsidR="00A16A9D" w:rsidRPr="00D731AA">
        <w:rPr>
          <w:rFonts w:ascii="Arial" w:hAnsi="Arial" w:cs="Arial"/>
          <w:sz w:val="22"/>
          <w:szCs w:val="22"/>
        </w:rPr>
        <w:t>complete the vendor risk</w:t>
      </w:r>
      <w:r w:rsidR="001654E3">
        <w:rPr>
          <w:rFonts w:ascii="Arial" w:hAnsi="Arial" w:cs="Arial"/>
          <w:sz w:val="22"/>
          <w:szCs w:val="22"/>
        </w:rPr>
        <w:t xml:space="preserve"> </w:t>
      </w:r>
      <w:r w:rsidR="00A16A9D" w:rsidRPr="00D731AA">
        <w:rPr>
          <w:rFonts w:ascii="Arial" w:hAnsi="Arial" w:cs="Arial"/>
          <w:sz w:val="22"/>
          <w:szCs w:val="22"/>
        </w:rPr>
        <w:t>assessment.</w:t>
      </w:r>
      <w:r w:rsidR="001654E3">
        <w:rPr>
          <w:rFonts w:ascii="Arial" w:hAnsi="Arial" w:cs="Arial"/>
          <w:sz w:val="22"/>
          <w:szCs w:val="22"/>
        </w:rPr>
        <w:t xml:space="preserve">  </w:t>
      </w:r>
    </w:p>
    <w:p w14:paraId="5597612D" w14:textId="77777777" w:rsidR="004D0921" w:rsidRPr="003E220E" w:rsidRDefault="004D0921" w:rsidP="001654E3">
      <w:pPr>
        <w:ind w:right="-162"/>
        <w:rPr>
          <w:rFonts w:ascii="Arial" w:hAnsi="Arial" w:cs="Arial"/>
          <w:sz w:val="16"/>
          <w:szCs w:val="16"/>
        </w:rPr>
      </w:pPr>
    </w:p>
    <w:p w14:paraId="2B77D783" w14:textId="77777777" w:rsidR="00A17A28" w:rsidRDefault="00A17A28" w:rsidP="001654E3">
      <w:pPr>
        <w:ind w:right="-162"/>
        <w:rPr>
          <w:rFonts w:ascii="Arial" w:hAnsi="Arial" w:cs="Arial"/>
          <w:sz w:val="22"/>
          <w:szCs w:val="22"/>
        </w:rPr>
      </w:pPr>
      <w:r w:rsidRPr="00D731AA">
        <w:rPr>
          <w:rFonts w:ascii="Arial" w:hAnsi="Arial" w:cs="Arial"/>
          <w:sz w:val="22"/>
          <w:szCs w:val="22"/>
        </w:rPr>
        <w:t xml:space="preserve">Factors </w:t>
      </w:r>
      <w:r w:rsidR="00A16A9D" w:rsidRPr="00D731AA">
        <w:rPr>
          <w:rFonts w:ascii="Arial" w:hAnsi="Arial" w:cs="Arial"/>
          <w:sz w:val="22"/>
          <w:szCs w:val="22"/>
        </w:rPr>
        <w:t xml:space="preserve">to consider when completing the </w:t>
      </w:r>
      <w:r w:rsidRPr="00D731AA">
        <w:rPr>
          <w:rFonts w:ascii="Arial" w:hAnsi="Arial" w:cs="Arial"/>
          <w:sz w:val="22"/>
          <w:szCs w:val="22"/>
        </w:rPr>
        <w:t xml:space="preserve">risk assessment include: </w:t>
      </w:r>
      <w:r w:rsidR="003724E7" w:rsidRPr="00D731AA">
        <w:rPr>
          <w:rFonts w:ascii="Arial" w:hAnsi="Arial" w:cs="Arial"/>
          <w:sz w:val="22"/>
          <w:szCs w:val="22"/>
        </w:rPr>
        <w:t>(1)</w:t>
      </w:r>
      <w:r w:rsidRPr="00D731AA">
        <w:rPr>
          <w:rFonts w:ascii="Arial" w:hAnsi="Arial" w:cs="Arial"/>
          <w:sz w:val="22"/>
          <w:szCs w:val="22"/>
        </w:rPr>
        <w:t xml:space="preserve"> the </w:t>
      </w:r>
      <w:r w:rsidR="007A72BC" w:rsidRPr="005B7191">
        <w:rPr>
          <w:rFonts w:ascii="Arial" w:hAnsi="Arial" w:cs="Arial"/>
          <w:sz w:val="22"/>
          <w:szCs w:val="22"/>
        </w:rPr>
        <w:t>critical</w:t>
      </w:r>
      <w:r w:rsidRPr="005B7191">
        <w:rPr>
          <w:rFonts w:ascii="Arial" w:hAnsi="Arial" w:cs="Arial"/>
          <w:sz w:val="22"/>
          <w:szCs w:val="22"/>
        </w:rPr>
        <w:t>ity</w:t>
      </w:r>
      <w:r w:rsidRPr="00D731AA">
        <w:rPr>
          <w:rFonts w:ascii="Arial" w:hAnsi="Arial" w:cs="Arial"/>
          <w:sz w:val="22"/>
          <w:szCs w:val="22"/>
        </w:rPr>
        <w:t xml:space="preserve"> of the function to the Bank, </w:t>
      </w:r>
      <w:r w:rsidR="003724E7" w:rsidRPr="00D731AA">
        <w:rPr>
          <w:rFonts w:ascii="Arial" w:hAnsi="Arial" w:cs="Arial"/>
          <w:sz w:val="22"/>
          <w:szCs w:val="22"/>
        </w:rPr>
        <w:t xml:space="preserve">(2) </w:t>
      </w:r>
      <w:r w:rsidRPr="00D731AA">
        <w:rPr>
          <w:rFonts w:ascii="Arial" w:hAnsi="Arial" w:cs="Arial"/>
          <w:sz w:val="22"/>
          <w:szCs w:val="22"/>
        </w:rPr>
        <w:t xml:space="preserve">the nature of </w:t>
      </w:r>
      <w:r w:rsidR="003724E7" w:rsidRPr="00D731AA">
        <w:rPr>
          <w:rFonts w:ascii="Arial" w:hAnsi="Arial" w:cs="Arial"/>
          <w:sz w:val="22"/>
          <w:szCs w:val="22"/>
        </w:rPr>
        <w:t xml:space="preserve">servicing </w:t>
      </w:r>
      <w:r w:rsidRPr="00D731AA">
        <w:rPr>
          <w:rFonts w:ascii="Arial" w:hAnsi="Arial" w:cs="Arial"/>
          <w:sz w:val="22"/>
          <w:szCs w:val="22"/>
        </w:rPr>
        <w:t xml:space="preserve">activities to be performed by the </w:t>
      </w:r>
      <w:r w:rsidR="003724E7" w:rsidRPr="00D731AA">
        <w:rPr>
          <w:rFonts w:ascii="Arial" w:hAnsi="Arial" w:cs="Arial"/>
          <w:sz w:val="22"/>
          <w:szCs w:val="22"/>
        </w:rPr>
        <w:t>v</w:t>
      </w:r>
      <w:r w:rsidRPr="00D731AA">
        <w:rPr>
          <w:rFonts w:ascii="Arial" w:hAnsi="Arial" w:cs="Arial"/>
          <w:sz w:val="22"/>
          <w:szCs w:val="22"/>
        </w:rPr>
        <w:t>endor</w:t>
      </w:r>
      <w:r w:rsidR="003724E7" w:rsidRPr="00D731AA">
        <w:rPr>
          <w:rFonts w:ascii="Arial" w:hAnsi="Arial" w:cs="Arial"/>
          <w:sz w:val="22"/>
          <w:szCs w:val="22"/>
        </w:rPr>
        <w:t xml:space="preserve"> (</w:t>
      </w:r>
      <w:r w:rsidRPr="00D731AA">
        <w:rPr>
          <w:rFonts w:ascii="Arial" w:hAnsi="Arial" w:cs="Arial"/>
          <w:sz w:val="22"/>
          <w:szCs w:val="22"/>
        </w:rPr>
        <w:t>including handling funds or implementing credit decisions</w:t>
      </w:r>
      <w:r w:rsidR="003724E7" w:rsidRPr="00D731AA">
        <w:rPr>
          <w:rFonts w:ascii="Arial" w:hAnsi="Arial" w:cs="Arial"/>
          <w:sz w:val="22"/>
          <w:szCs w:val="22"/>
        </w:rPr>
        <w:t>)</w:t>
      </w:r>
      <w:r w:rsidRPr="00D731AA">
        <w:rPr>
          <w:rFonts w:ascii="Arial" w:hAnsi="Arial" w:cs="Arial"/>
          <w:sz w:val="22"/>
          <w:szCs w:val="22"/>
        </w:rPr>
        <w:t xml:space="preserve">, </w:t>
      </w:r>
      <w:r w:rsidR="003724E7" w:rsidRPr="00D731AA">
        <w:rPr>
          <w:rFonts w:ascii="Arial" w:hAnsi="Arial" w:cs="Arial"/>
          <w:sz w:val="22"/>
          <w:szCs w:val="22"/>
        </w:rPr>
        <w:t xml:space="preserve">(3) </w:t>
      </w:r>
      <w:r w:rsidRPr="00D731AA">
        <w:rPr>
          <w:rFonts w:ascii="Arial" w:hAnsi="Arial" w:cs="Arial"/>
          <w:sz w:val="22"/>
          <w:szCs w:val="22"/>
        </w:rPr>
        <w:t xml:space="preserve">the availability of alternative </w:t>
      </w:r>
      <w:r w:rsidR="003724E7" w:rsidRPr="00D731AA">
        <w:rPr>
          <w:rFonts w:ascii="Arial" w:hAnsi="Arial" w:cs="Arial"/>
          <w:sz w:val="22"/>
          <w:szCs w:val="22"/>
        </w:rPr>
        <w:t>v</w:t>
      </w:r>
      <w:r w:rsidRPr="00D731AA">
        <w:rPr>
          <w:rFonts w:ascii="Arial" w:hAnsi="Arial" w:cs="Arial"/>
          <w:sz w:val="22"/>
          <w:szCs w:val="22"/>
        </w:rPr>
        <w:t xml:space="preserve">endors for the particular function, </w:t>
      </w:r>
      <w:r w:rsidR="003724E7" w:rsidRPr="00D731AA">
        <w:rPr>
          <w:rFonts w:ascii="Arial" w:hAnsi="Arial" w:cs="Arial"/>
          <w:sz w:val="22"/>
          <w:szCs w:val="22"/>
        </w:rPr>
        <w:t xml:space="preserve">(4) </w:t>
      </w:r>
      <w:r w:rsidRPr="00D731AA">
        <w:rPr>
          <w:rFonts w:ascii="Arial" w:hAnsi="Arial" w:cs="Arial"/>
          <w:sz w:val="22"/>
          <w:szCs w:val="22"/>
        </w:rPr>
        <w:t xml:space="preserve">insurance coverage available for particular risks, and </w:t>
      </w:r>
      <w:r w:rsidR="003724E7" w:rsidRPr="00D731AA">
        <w:rPr>
          <w:rFonts w:ascii="Arial" w:hAnsi="Arial" w:cs="Arial"/>
          <w:sz w:val="22"/>
          <w:szCs w:val="22"/>
        </w:rPr>
        <w:t xml:space="preserve">(5) </w:t>
      </w:r>
      <w:r w:rsidRPr="00D731AA">
        <w:rPr>
          <w:rFonts w:ascii="Arial" w:hAnsi="Arial" w:cs="Arial"/>
          <w:sz w:val="22"/>
          <w:szCs w:val="22"/>
        </w:rPr>
        <w:t xml:space="preserve">the cost and time required to switch </w:t>
      </w:r>
      <w:r w:rsidR="003724E7" w:rsidRPr="00D731AA">
        <w:rPr>
          <w:rFonts w:ascii="Arial" w:hAnsi="Arial" w:cs="Arial"/>
          <w:sz w:val="22"/>
          <w:szCs w:val="22"/>
        </w:rPr>
        <w:t>v</w:t>
      </w:r>
      <w:r w:rsidRPr="00D731AA">
        <w:rPr>
          <w:rFonts w:ascii="Arial" w:hAnsi="Arial" w:cs="Arial"/>
          <w:sz w:val="22"/>
          <w:szCs w:val="22"/>
        </w:rPr>
        <w:t xml:space="preserve">endors should problems arise. </w:t>
      </w:r>
      <w:r w:rsidR="00A16A9D" w:rsidRPr="00D731AA">
        <w:rPr>
          <w:rFonts w:ascii="Arial" w:hAnsi="Arial" w:cs="Arial"/>
          <w:sz w:val="22"/>
          <w:szCs w:val="22"/>
        </w:rPr>
        <w:t xml:space="preserve">The assessment </w:t>
      </w:r>
      <w:r w:rsidRPr="00D731AA">
        <w:rPr>
          <w:rFonts w:ascii="Arial" w:hAnsi="Arial" w:cs="Arial"/>
          <w:sz w:val="22"/>
          <w:szCs w:val="22"/>
        </w:rPr>
        <w:t>will ensure that the Bank understands the roles, responsibilities, and contractual obligations of all parties.</w:t>
      </w:r>
    </w:p>
    <w:p w14:paraId="2F93801A" w14:textId="77777777" w:rsidR="003E220E" w:rsidRPr="00DC1D7D" w:rsidRDefault="003E220E" w:rsidP="001654E3">
      <w:pPr>
        <w:ind w:right="-162"/>
        <w:rPr>
          <w:rFonts w:ascii="Arial" w:hAnsi="Arial" w:cs="Arial"/>
          <w:sz w:val="16"/>
          <w:szCs w:val="16"/>
        </w:rPr>
      </w:pPr>
    </w:p>
    <w:p w14:paraId="48A6322C" w14:textId="77777777" w:rsidR="00A17A28" w:rsidRPr="00D731AA" w:rsidRDefault="00A17A28" w:rsidP="001654E3">
      <w:pPr>
        <w:tabs>
          <w:tab w:val="left" w:pos="360"/>
        </w:tabs>
        <w:rPr>
          <w:rFonts w:ascii="Arial" w:hAnsi="Arial" w:cs="Arial"/>
          <w:sz w:val="22"/>
          <w:szCs w:val="22"/>
        </w:rPr>
      </w:pPr>
      <w:r w:rsidRPr="00D731AA">
        <w:rPr>
          <w:rFonts w:ascii="Arial" w:hAnsi="Arial" w:cs="Arial"/>
          <w:sz w:val="22"/>
          <w:szCs w:val="22"/>
        </w:rPr>
        <w:t xml:space="preserve">The following </w:t>
      </w:r>
      <w:r w:rsidR="003724E7" w:rsidRPr="00D731AA">
        <w:rPr>
          <w:rFonts w:ascii="Arial" w:hAnsi="Arial" w:cs="Arial"/>
          <w:sz w:val="22"/>
          <w:szCs w:val="22"/>
        </w:rPr>
        <w:t xml:space="preserve">criteria </w:t>
      </w:r>
      <w:r w:rsidRPr="00D731AA">
        <w:rPr>
          <w:rFonts w:ascii="Arial" w:hAnsi="Arial" w:cs="Arial"/>
          <w:sz w:val="22"/>
          <w:szCs w:val="22"/>
        </w:rPr>
        <w:t xml:space="preserve">will be included in </w:t>
      </w:r>
      <w:r w:rsidR="000949B0">
        <w:rPr>
          <w:rFonts w:ascii="Arial" w:hAnsi="Arial" w:cs="Arial"/>
          <w:sz w:val="22"/>
          <w:szCs w:val="22"/>
        </w:rPr>
        <w:t xml:space="preserve">the </w:t>
      </w:r>
      <w:r w:rsidR="003724E7" w:rsidRPr="00D731AA">
        <w:rPr>
          <w:rFonts w:ascii="Arial" w:hAnsi="Arial" w:cs="Arial"/>
          <w:sz w:val="22"/>
          <w:szCs w:val="22"/>
        </w:rPr>
        <w:t xml:space="preserve">vendor assessment </w:t>
      </w:r>
      <w:r w:rsidRPr="00D731AA">
        <w:rPr>
          <w:rFonts w:ascii="Arial" w:hAnsi="Arial" w:cs="Arial"/>
          <w:sz w:val="22"/>
          <w:szCs w:val="22"/>
        </w:rPr>
        <w:t>process:</w:t>
      </w:r>
    </w:p>
    <w:p w14:paraId="2ADF9BD3" w14:textId="77777777" w:rsidR="00A17A28" w:rsidRPr="00475B05" w:rsidRDefault="00A17A28" w:rsidP="00F4599F">
      <w:pPr>
        <w:rPr>
          <w:rFonts w:ascii="Arial" w:hAnsi="Arial" w:cs="Arial"/>
          <w:sz w:val="16"/>
          <w:szCs w:val="16"/>
        </w:rPr>
      </w:pPr>
    </w:p>
    <w:p w14:paraId="5F69BF53" w14:textId="77777777" w:rsidR="00EC447F" w:rsidRPr="005A7D0C" w:rsidRDefault="000D3C18" w:rsidP="00E12BA4">
      <w:pPr>
        <w:pStyle w:val="ListNumber"/>
        <w:tabs>
          <w:tab w:val="left" w:pos="720"/>
          <w:tab w:val="num" w:pos="1260"/>
        </w:tabs>
        <w:ind w:left="720" w:right="-72"/>
        <w:rPr>
          <w:rFonts w:ascii="Arial" w:hAnsi="Arial" w:cs="Arial"/>
          <w:sz w:val="22"/>
          <w:szCs w:val="22"/>
        </w:rPr>
      </w:pPr>
      <w:r w:rsidRPr="005A7D0C">
        <w:rPr>
          <w:rFonts w:ascii="Arial" w:hAnsi="Arial" w:cs="Arial"/>
          <w:b/>
          <w:sz w:val="22"/>
          <w:szCs w:val="22"/>
        </w:rPr>
        <w:t>Selection of Vendor</w:t>
      </w:r>
      <w:r w:rsidR="005C3CBA" w:rsidRPr="005A7D0C">
        <w:rPr>
          <w:rFonts w:ascii="Arial" w:hAnsi="Arial" w:cs="Arial"/>
          <w:sz w:val="22"/>
          <w:szCs w:val="22"/>
        </w:rPr>
        <w:t xml:space="preserve"> </w:t>
      </w:r>
      <w:r w:rsidR="00B633D6" w:rsidRPr="005A7D0C">
        <w:rPr>
          <w:rFonts w:ascii="Arial" w:hAnsi="Arial" w:cs="Arial"/>
          <w:sz w:val="22"/>
          <w:szCs w:val="22"/>
        </w:rPr>
        <w:t>–</w:t>
      </w:r>
      <w:r w:rsidRPr="005A7D0C">
        <w:rPr>
          <w:rFonts w:ascii="Arial" w:hAnsi="Arial" w:cs="Arial"/>
          <w:sz w:val="22"/>
          <w:szCs w:val="22"/>
        </w:rPr>
        <w:t xml:space="preserve"> </w:t>
      </w:r>
      <w:r w:rsidR="00B633D6" w:rsidRPr="005A7D0C">
        <w:rPr>
          <w:rFonts w:ascii="Arial" w:hAnsi="Arial" w:cs="Arial"/>
          <w:sz w:val="22"/>
          <w:szCs w:val="22"/>
        </w:rPr>
        <w:t xml:space="preserve">Management will determine the process </w:t>
      </w:r>
      <w:r w:rsidR="00937E39" w:rsidRPr="005A7D0C">
        <w:rPr>
          <w:rFonts w:ascii="Arial" w:hAnsi="Arial" w:cs="Arial"/>
          <w:sz w:val="22"/>
          <w:szCs w:val="22"/>
        </w:rPr>
        <w:t xml:space="preserve">for selecting new or replacement vendors based on the criticality of the product or service being sought.  When deemed necessary, a formal request for proposal process will be used.  Management will select which vendors will be invited to participate in the vendor selection process based on </w:t>
      </w:r>
      <w:r w:rsidR="004D31A3" w:rsidRPr="005A7D0C">
        <w:rPr>
          <w:rFonts w:ascii="Arial" w:hAnsi="Arial" w:cs="Arial"/>
          <w:sz w:val="22"/>
          <w:szCs w:val="22"/>
        </w:rPr>
        <w:t>the requirements established</w:t>
      </w:r>
      <w:r w:rsidR="00EC447F" w:rsidRPr="005A7D0C">
        <w:rPr>
          <w:rFonts w:ascii="Arial" w:hAnsi="Arial" w:cs="Arial"/>
          <w:sz w:val="22"/>
          <w:szCs w:val="22"/>
        </w:rPr>
        <w:t xml:space="preserve"> for the product or service</w:t>
      </w:r>
      <w:r w:rsidR="004D31A3" w:rsidRPr="005A7D0C">
        <w:rPr>
          <w:rFonts w:ascii="Arial" w:hAnsi="Arial" w:cs="Arial"/>
          <w:sz w:val="22"/>
          <w:szCs w:val="22"/>
        </w:rPr>
        <w:t xml:space="preserve">, the </w:t>
      </w:r>
      <w:r w:rsidR="00EC447F" w:rsidRPr="005A7D0C">
        <w:rPr>
          <w:rFonts w:ascii="Arial" w:hAnsi="Arial" w:cs="Arial"/>
          <w:sz w:val="22"/>
          <w:szCs w:val="22"/>
        </w:rPr>
        <w:t>availability</w:t>
      </w:r>
      <w:r w:rsidR="004D31A3" w:rsidRPr="005A7D0C">
        <w:rPr>
          <w:rFonts w:ascii="Arial" w:hAnsi="Arial" w:cs="Arial"/>
          <w:sz w:val="22"/>
          <w:szCs w:val="22"/>
        </w:rPr>
        <w:t xml:space="preserve"> of established vendors within the bank’s market</w:t>
      </w:r>
      <w:r w:rsidR="00EC447F" w:rsidRPr="005A7D0C">
        <w:rPr>
          <w:rFonts w:ascii="Arial" w:hAnsi="Arial" w:cs="Arial"/>
          <w:sz w:val="22"/>
          <w:szCs w:val="22"/>
        </w:rPr>
        <w:t xml:space="preserve"> area</w:t>
      </w:r>
      <w:r w:rsidR="004D31A3" w:rsidRPr="005A7D0C">
        <w:rPr>
          <w:rFonts w:ascii="Arial" w:hAnsi="Arial" w:cs="Arial"/>
          <w:sz w:val="22"/>
          <w:szCs w:val="22"/>
        </w:rPr>
        <w:t>, and the vendor’s experience and reputation</w:t>
      </w:r>
      <w:r w:rsidR="00EC447F" w:rsidRPr="005A7D0C">
        <w:rPr>
          <w:rFonts w:ascii="Arial" w:hAnsi="Arial" w:cs="Arial"/>
          <w:sz w:val="22"/>
          <w:szCs w:val="22"/>
        </w:rPr>
        <w:t>.  Management will also decide, based on the information available, how many vendors will be sent a request for proposal.</w:t>
      </w:r>
      <w:r w:rsidR="00A45A94" w:rsidRPr="005A7D0C">
        <w:rPr>
          <w:rFonts w:ascii="Arial" w:hAnsi="Arial" w:cs="Arial"/>
          <w:sz w:val="22"/>
          <w:szCs w:val="22"/>
        </w:rPr>
        <w:t xml:space="preserve">  </w:t>
      </w:r>
      <w:r w:rsidR="00EC447F" w:rsidRPr="005A7D0C">
        <w:rPr>
          <w:rFonts w:ascii="Arial" w:hAnsi="Arial" w:cs="Arial"/>
          <w:sz w:val="22"/>
          <w:szCs w:val="22"/>
        </w:rPr>
        <w:t xml:space="preserve">The criteria used to evaluate the proposals will be based on a variety of </w:t>
      </w:r>
      <w:r w:rsidR="00374B87" w:rsidRPr="005A7D0C">
        <w:rPr>
          <w:rFonts w:ascii="Arial" w:hAnsi="Arial" w:cs="Arial"/>
          <w:sz w:val="22"/>
          <w:szCs w:val="22"/>
        </w:rPr>
        <w:t xml:space="preserve">qualitative </w:t>
      </w:r>
      <w:r w:rsidR="00EC447F" w:rsidRPr="005A7D0C">
        <w:rPr>
          <w:rFonts w:ascii="Arial" w:hAnsi="Arial" w:cs="Arial"/>
          <w:sz w:val="22"/>
          <w:szCs w:val="22"/>
        </w:rPr>
        <w:t xml:space="preserve">considerations, </w:t>
      </w:r>
      <w:r w:rsidR="00374B87" w:rsidRPr="005A7D0C">
        <w:rPr>
          <w:rFonts w:ascii="Arial" w:hAnsi="Arial" w:cs="Arial"/>
          <w:sz w:val="22"/>
          <w:szCs w:val="22"/>
        </w:rPr>
        <w:t xml:space="preserve">based on the most important requirements of the </w:t>
      </w:r>
      <w:r w:rsidR="00FC1D6B" w:rsidRPr="005A7D0C">
        <w:rPr>
          <w:rFonts w:ascii="Arial" w:hAnsi="Arial" w:cs="Arial"/>
          <w:sz w:val="22"/>
          <w:szCs w:val="22"/>
        </w:rPr>
        <w:t xml:space="preserve">prospective </w:t>
      </w:r>
      <w:r w:rsidR="00374B87" w:rsidRPr="005A7D0C">
        <w:rPr>
          <w:rFonts w:ascii="Arial" w:hAnsi="Arial" w:cs="Arial"/>
          <w:sz w:val="22"/>
          <w:szCs w:val="22"/>
        </w:rPr>
        <w:t>relationship.</w:t>
      </w:r>
    </w:p>
    <w:p w14:paraId="76DDAC8A" w14:textId="77777777" w:rsidR="004D31A3" w:rsidRPr="00324E78" w:rsidRDefault="004D31A3" w:rsidP="004D31A3">
      <w:pPr>
        <w:pStyle w:val="ListNumber"/>
        <w:numPr>
          <w:ilvl w:val="0"/>
          <w:numId w:val="0"/>
        </w:numPr>
        <w:tabs>
          <w:tab w:val="left" w:pos="720"/>
        </w:tabs>
        <w:ind w:left="720" w:right="-90"/>
        <w:rPr>
          <w:rFonts w:ascii="Arial" w:hAnsi="Arial" w:cs="Arial"/>
          <w:sz w:val="16"/>
          <w:szCs w:val="16"/>
        </w:rPr>
      </w:pPr>
    </w:p>
    <w:p w14:paraId="31311EB9" w14:textId="77777777" w:rsidR="00A17A28" w:rsidRPr="00D731AA" w:rsidRDefault="00A17A28" w:rsidP="008E7A9B">
      <w:pPr>
        <w:pStyle w:val="ListNumber"/>
        <w:numPr>
          <w:ilvl w:val="0"/>
          <w:numId w:val="0"/>
        </w:numPr>
        <w:tabs>
          <w:tab w:val="left" w:pos="720"/>
          <w:tab w:val="num" w:pos="1260"/>
        </w:tabs>
        <w:ind w:left="720" w:right="-90"/>
        <w:rPr>
          <w:rFonts w:ascii="Arial" w:hAnsi="Arial" w:cs="Arial"/>
          <w:sz w:val="22"/>
          <w:szCs w:val="22"/>
        </w:rPr>
      </w:pPr>
      <w:r w:rsidRPr="00D731AA">
        <w:rPr>
          <w:rFonts w:ascii="Arial" w:hAnsi="Arial" w:cs="Arial"/>
          <w:sz w:val="22"/>
          <w:szCs w:val="22"/>
        </w:rPr>
        <w:t xml:space="preserve">The Bank will perform appropriate due diligence </w:t>
      </w:r>
      <w:r w:rsidR="00A16A9D" w:rsidRPr="00D731AA">
        <w:rPr>
          <w:rFonts w:ascii="Arial" w:hAnsi="Arial" w:cs="Arial"/>
          <w:sz w:val="22"/>
          <w:szCs w:val="22"/>
        </w:rPr>
        <w:t xml:space="preserve">in addition to the risk assessment </w:t>
      </w:r>
      <w:r w:rsidRPr="00D731AA">
        <w:rPr>
          <w:rFonts w:ascii="Arial" w:hAnsi="Arial" w:cs="Arial"/>
          <w:sz w:val="22"/>
          <w:szCs w:val="22"/>
        </w:rPr>
        <w:t xml:space="preserve">to satisfy itself regarding the </w:t>
      </w:r>
      <w:r w:rsidR="003724E7" w:rsidRPr="00D731AA">
        <w:rPr>
          <w:rFonts w:ascii="Arial" w:hAnsi="Arial" w:cs="Arial"/>
          <w:sz w:val="22"/>
          <w:szCs w:val="22"/>
        </w:rPr>
        <w:t>v</w:t>
      </w:r>
      <w:r w:rsidRPr="00D731AA">
        <w:rPr>
          <w:rFonts w:ascii="Arial" w:hAnsi="Arial" w:cs="Arial"/>
          <w:sz w:val="22"/>
          <w:szCs w:val="22"/>
        </w:rPr>
        <w:t xml:space="preserve">endor’s </w:t>
      </w:r>
      <w:r w:rsidR="00A16A9D" w:rsidRPr="00D731AA">
        <w:rPr>
          <w:rFonts w:ascii="Arial" w:hAnsi="Arial" w:cs="Arial"/>
          <w:sz w:val="22"/>
          <w:szCs w:val="22"/>
        </w:rPr>
        <w:t xml:space="preserve">proven operational </w:t>
      </w:r>
      <w:r w:rsidRPr="00D731AA">
        <w:rPr>
          <w:rFonts w:ascii="Arial" w:hAnsi="Arial" w:cs="Arial"/>
          <w:sz w:val="22"/>
          <w:szCs w:val="22"/>
        </w:rPr>
        <w:t xml:space="preserve">competence and </w:t>
      </w:r>
      <w:r w:rsidR="00A16A9D" w:rsidRPr="00D731AA">
        <w:rPr>
          <w:rFonts w:ascii="Arial" w:hAnsi="Arial" w:cs="Arial"/>
          <w:sz w:val="22"/>
          <w:szCs w:val="22"/>
        </w:rPr>
        <w:t xml:space="preserve">financial </w:t>
      </w:r>
      <w:r w:rsidRPr="00D731AA">
        <w:rPr>
          <w:rFonts w:ascii="Arial" w:hAnsi="Arial" w:cs="Arial"/>
          <w:sz w:val="22"/>
          <w:szCs w:val="22"/>
        </w:rPr>
        <w:t>stability</w:t>
      </w:r>
      <w:r w:rsidR="005316EE">
        <w:rPr>
          <w:rFonts w:ascii="Arial" w:hAnsi="Arial" w:cs="Arial"/>
          <w:sz w:val="22"/>
          <w:szCs w:val="22"/>
        </w:rPr>
        <w:t>,</w:t>
      </w:r>
      <w:r w:rsidR="00A16A9D" w:rsidRPr="00D731AA">
        <w:rPr>
          <w:rFonts w:ascii="Arial" w:hAnsi="Arial" w:cs="Arial"/>
          <w:sz w:val="22"/>
          <w:szCs w:val="22"/>
        </w:rPr>
        <w:t xml:space="preserve"> through reference checks and a review of the most recent financial statements. </w:t>
      </w:r>
    </w:p>
    <w:p w14:paraId="44746AF6" w14:textId="77777777" w:rsidR="00A17A28" w:rsidRPr="00475B05" w:rsidRDefault="00A17A28" w:rsidP="00D953DC">
      <w:pPr>
        <w:tabs>
          <w:tab w:val="num" w:pos="900"/>
          <w:tab w:val="num" w:pos="1260"/>
        </w:tabs>
        <w:rPr>
          <w:rFonts w:ascii="Arial" w:hAnsi="Arial" w:cs="Arial"/>
          <w:sz w:val="16"/>
          <w:szCs w:val="16"/>
        </w:rPr>
      </w:pPr>
    </w:p>
    <w:p w14:paraId="41382B58" w14:textId="77777777" w:rsidR="00324E78" w:rsidRDefault="000D3C18" w:rsidP="00830D2C">
      <w:pPr>
        <w:pStyle w:val="ListNumber"/>
        <w:tabs>
          <w:tab w:val="num" w:pos="720"/>
        </w:tabs>
        <w:ind w:left="720" w:right="-162"/>
        <w:rPr>
          <w:rFonts w:ascii="Arial" w:hAnsi="Arial" w:cs="Arial"/>
          <w:sz w:val="22"/>
          <w:szCs w:val="22"/>
        </w:rPr>
      </w:pPr>
      <w:r w:rsidRPr="00D731AA">
        <w:rPr>
          <w:rFonts w:ascii="Arial" w:hAnsi="Arial" w:cs="Arial"/>
          <w:b/>
          <w:sz w:val="22"/>
          <w:szCs w:val="22"/>
        </w:rPr>
        <w:t>Contracts</w:t>
      </w:r>
      <w:r w:rsidR="005C3CBA">
        <w:rPr>
          <w:rFonts w:ascii="Arial" w:hAnsi="Arial" w:cs="Arial"/>
          <w:b/>
          <w:sz w:val="22"/>
          <w:szCs w:val="22"/>
        </w:rPr>
        <w:t xml:space="preserve"> -</w:t>
      </w:r>
      <w:r w:rsidRPr="00D731AA">
        <w:rPr>
          <w:rFonts w:ascii="Arial" w:hAnsi="Arial" w:cs="Arial"/>
          <w:sz w:val="22"/>
          <w:szCs w:val="22"/>
        </w:rPr>
        <w:t xml:space="preserve"> </w:t>
      </w:r>
      <w:r w:rsidR="00A17A28" w:rsidRPr="00D731AA">
        <w:rPr>
          <w:rFonts w:ascii="Arial" w:hAnsi="Arial" w:cs="Arial"/>
          <w:sz w:val="22"/>
          <w:szCs w:val="22"/>
        </w:rPr>
        <w:t xml:space="preserve">The written contract between the Bank and the </w:t>
      </w:r>
      <w:r w:rsidR="003724E7" w:rsidRPr="00D731AA">
        <w:rPr>
          <w:rFonts w:ascii="Arial" w:hAnsi="Arial" w:cs="Arial"/>
          <w:sz w:val="22"/>
          <w:szCs w:val="22"/>
        </w:rPr>
        <w:t>v</w:t>
      </w:r>
      <w:r w:rsidR="00A17A28" w:rsidRPr="00D731AA">
        <w:rPr>
          <w:rFonts w:ascii="Arial" w:hAnsi="Arial" w:cs="Arial"/>
          <w:sz w:val="22"/>
          <w:szCs w:val="22"/>
        </w:rPr>
        <w:t>endor should clearly specify</w:t>
      </w:r>
      <w:r w:rsidR="00F71765" w:rsidRPr="00D731AA">
        <w:rPr>
          <w:rFonts w:ascii="Arial" w:hAnsi="Arial" w:cs="Arial"/>
          <w:sz w:val="22"/>
          <w:szCs w:val="22"/>
        </w:rPr>
        <w:t xml:space="preserve"> </w:t>
      </w:r>
      <w:r w:rsidR="00A17A28" w:rsidRPr="00D731AA">
        <w:rPr>
          <w:rFonts w:ascii="Arial" w:hAnsi="Arial" w:cs="Arial"/>
          <w:sz w:val="22"/>
          <w:szCs w:val="22"/>
        </w:rPr>
        <w:t>all relevant terms, conditions, responsibilities and liabilities of both parties. These would normally include terms such as:</w:t>
      </w:r>
    </w:p>
    <w:p w14:paraId="22E3AFDA" w14:textId="77777777" w:rsidR="00A17A28" w:rsidRPr="00FA6E23" w:rsidRDefault="000D3C18" w:rsidP="00324E78">
      <w:pPr>
        <w:pStyle w:val="ListNumber"/>
        <w:numPr>
          <w:ilvl w:val="0"/>
          <w:numId w:val="0"/>
        </w:numPr>
        <w:ind w:left="720" w:right="-162"/>
        <w:rPr>
          <w:rFonts w:ascii="Arial" w:hAnsi="Arial" w:cs="Arial"/>
          <w:sz w:val="12"/>
          <w:szCs w:val="12"/>
        </w:rPr>
      </w:pPr>
      <w:r>
        <w:rPr>
          <w:rFonts w:ascii="Arial" w:hAnsi="Arial" w:cs="Arial"/>
          <w:sz w:val="22"/>
          <w:szCs w:val="22"/>
        </w:rPr>
        <w:t xml:space="preserve"> </w:t>
      </w:r>
    </w:p>
    <w:p w14:paraId="13DE12B8" w14:textId="77777777" w:rsidR="00A17A28" w:rsidRPr="00830D2C" w:rsidRDefault="00A17A28" w:rsidP="00096EF0">
      <w:pPr>
        <w:pStyle w:val="ListBullet"/>
        <w:rPr>
          <w:sz w:val="20"/>
          <w:szCs w:val="20"/>
        </w:rPr>
      </w:pPr>
      <w:r w:rsidRPr="00830D2C">
        <w:rPr>
          <w:sz w:val="20"/>
          <w:szCs w:val="20"/>
        </w:rPr>
        <w:t xml:space="preserve">Statements </w:t>
      </w:r>
      <w:r w:rsidR="000154B0" w:rsidRPr="00830D2C">
        <w:rPr>
          <w:sz w:val="20"/>
          <w:szCs w:val="20"/>
        </w:rPr>
        <w:t xml:space="preserve">supporting the business reason for requiring access to </w:t>
      </w:r>
      <w:r w:rsidRPr="00830D2C">
        <w:rPr>
          <w:sz w:val="20"/>
          <w:szCs w:val="20"/>
        </w:rPr>
        <w:t>non-public, personal financial information</w:t>
      </w:r>
      <w:r w:rsidR="00944199" w:rsidRPr="00830D2C">
        <w:rPr>
          <w:sz w:val="20"/>
          <w:szCs w:val="20"/>
        </w:rPr>
        <w:t xml:space="preserve"> related to the B</w:t>
      </w:r>
      <w:r w:rsidR="000154B0" w:rsidRPr="00830D2C">
        <w:rPr>
          <w:sz w:val="20"/>
          <w:szCs w:val="20"/>
        </w:rPr>
        <w:t>ank</w:t>
      </w:r>
      <w:r w:rsidR="005C62B9" w:rsidRPr="00830D2C">
        <w:rPr>
          <w:sz w:val="20"/>
          <w:szCs w:val="20"/>
        </w:rPr>
        <w:t>’s</w:t>
      </w:r>
      <w:r w:rsidR="000154B0" w:rsidRPr="00830D2C">
        <w:rPr>
          <w:sz w:val="20"/>
          <w:szCs w:val="20"/>
        </w:rPr>
        <w:t xml:space="preserve"> customers</w:t>
      </w:r>
      <w:r w:rsidRPr="00830D2C">
        <w:rPr>
          <w:sz w:val="20"/>
          <w:szCs w:val="20"/>
        </w:rPr>
        <w:t>.</w:t>
      </w:r>
    </w:p>
    <w:p w14:paraId="4980CC20" w14:textId="77777777" w:rsidR="00A45A94" w:rsidRPr="00830D2C" w:rsidRDefault="00A45A94" w:rsidP="00E12BA4">
      <w:pPr>
        <w:pStyle w:val="ListBullet2"/>
        <w:rPr>
          <w:sz w:val="12"/>
          <w:szCs w:val="12"/>
        </w:rPr>
      </w:pPr>
    </w:p>
    <w:p w14:paraId="6D23B2B3" w14:textId="77777777" w:rsidR="00A17A28" w:rsidRPr="00830D2C" w:rsidRDefault="00A17A28" w:rsidP="00096EF0">
      <w:pPr>
        <w:pStyle w:val="ListBullet"/>
        <w:rPr>
          <w:sz w:val="20"/>
          <w:szCs w:val="20"/>
        </w:rPr>
      </w:pPr>
      <w:r w:rsidRPr="00830D2C">
        <w:rPr>
          <w:sz w:val="20"/>
          <w:szCs w:val="20"/>
        </w:rPr>
        <w:t xml:space="preserve">Agreements not to disclose non-public, personal financial information of </w:t>
      </w:r>
      <w:r w:rsidR="00353D40" w:rsidRPr="00830D2C">
        <w:rPr>
          <w:sz w:val="20"/>
          <w:szCs w:val="20"/>
        </w:rPr>
        <w:t>B</w:t>
      </w:r>
      <w:r w:rsidR="000154B0" w:rsidRPr="00830D2C">
        <w:rPr>
          <w:sz w:val="20"/>
          <w:szCs w:val="20"/>
        </w:rPr>
        <w:t xml:space="preserve">ank </w:t>
      </w:r>
      <w:r w:rsidRPr="00830D2C">
        <w:rPr>
          <w:sz w:val="20"/>
          <w:szCs w:val="20"/>
        </w:rPr>
        <w:t>customers</w:t>
      </w:r>
      <w:r w:rsidR="00353D40" w:rsidRPr="00830D2C">
        <w:rPr>
          <w:sz w:val="20"/>
          <w:szCs w:val="20"/>
        </w:rPr>
        <w:t>,</w:t>
      </w:r>
      <w:r w:rsidRPr="00830D2C">
        <w:rPr>
          <w:sz w:val="20"/>
          <w:szCs w:val="20"/>
        </w:rPr>
        <w:t xml:space="preserve"> either in possession of the </w:t>
      </w:r>
      <w:r w:rsidR="003724E7" w:rsidRPr="00830D2C">
        <w:rPr>
          <w:sz w:val="20"/>
          <w:szCs w:val="20"/>
        </w:rPr>
        <w:t>v</w:t>
      </w:r>
      <w:r w:rsidRPr="00830D2C">
        <w:rPr>
          <w:sz w:val="20"/>
          <w:szCs w:val="20"/>
        </w:rPr>
        <w:t xml:space="preserve">endor or accessible to them, and statements of </w:t>
      </w:r>
      <w:r w:rsidR="000154B0" w:rsidRPr="00830D2C">
        <w:rPr>
          <w:sz w:val="20"/>
          <w:szCs w:val="20"/>
        </w:rPr>
        <w:t xml:space="preserve">vendor </w:t>
      </w:r>
      <w:r w:rsidRPr="00830D2C">
        <w:rPr>
          <w:sz w:val="20"/>
          <w:szCs w:val="20"/>
        </w:rPr>
        <w:t>responsibility and liability</w:t>
      </w:r>
      <w:r w:rsidR="00353D40" w:rsidRPr="00830D2C">
        <w:rPr>
          <w:sz w:val="20"/>
          <w:szCs w:val="20"/>
        </w:rPr>
        <w:t xml:space="preserve"> in the event</w:t>
      </w:r>
      <w:r w:rsidR="00F71765" w:rsidRPr="00830D2C">
        <w:rPr>
          <w:sz w:val="20"/>
          <w:szCs w:val="20"/>
        </w:rPr>
        <w:t xml:space="preserve"> </w:t>
      </w:r>
      <w:r w:rsidRPr="00830D2C">
        <w:rPr>
          <w:sz w:val="20"/>
          <w:szCs w:val="20"/>
        </w:rPr>
        <w:t xml:space="preserve">such </w:t>
      </w:r>
      <w:r w:rsidR="000154B0" w:rsidRPr="00830D2C">
        <w:rPr>
          <w:sz w:val="20"/>
          <w:szCs w:val="20"/>
        </w:rPr>
        <w:t xml:space="preserve">sensitive customer </w:t>
      </w:r>
      <w:r w:rsidRPr="00830D2C">
        <w:rPr>
          <w:sz w:val="20"/>
          <w:szCs w:val="20"/>
        </w:rPr>
        <w:t>information</w:t>
      </w:r>
      <w:r w:rsidR="009E5F78" w:rsidRPr="00830D2C">
        <w:rPr>
          <w:sz w:val="20"/>
          <w:szCs w:val="20"/>
        </w:rPr>
        <w:t xml:space="preserve"> is in fact disclosed</w:t>
      </w:r>
      <w:r w:rsidR="000154B0" w:rsidRPr="00830D2C">
        <w:rPr>
          <w:sz w:val="20"/>
          <w:szCs w:val="20"/>
        </w:rPr>
        <w:t xml:space="preserve"> to an unauthorized party</w:t>
      </w:r>
      <w:r w:rsidRPr="00830D2C">
        <w:rPr>
          <w:sz w:val="20"/>
          <w:szCs w:val="20"/>
        </w:rPr>
        <w:t>.</w:t>
      </w:r>
    </w:p>
    <w:p w14:paraId="0D8B7D62" w14:textId="77777777" w:rsidR="00A45A94" w:rsidRPr="00830D2C" w:rsidRDefault="00A45A94" w:rsidP="00E12BA4">
      <w:pPr>
        <w:pStyle w:val="ListBullet2"/>
        <w:rPr>
          <w:sz w:val="12"/>
          <w:szCs w:val="12"/>
        </w:rPr>
      </w:pPr>
    </w:p>
    <w:p w14:paraId="3B55D1EC" w14:textId="77777777" w:rsidR="00A17A28" w:rsidRPr="00830D2C" w:rsidRDefault="00A17A28" w:rsidP="00096EF0">
      <w:pPr>
        <w:pStyle w:val="ListBullet"/>
        <w:rPr>
          <w:sz w:val="20"/>
          <w:szCs w:val="20"/>
        </w:rPr>
      </w:pPr>
      <w:r w:rsidRPr="00830D2C">
        <w:rPr>
          <w:sz w:val="20"/>
          <w:szCs w:val="20"/>
        </w:rPr>
        <w:t>Required service levels, performance standards, and penalties.</w:t>
      </w:r>
    </w:p>
    <w:p w14:paraId="666322D9" w14:textId="77777777" w:rsidR="00A45A94" w:rsidRPr="00830D2C" w:rsidRDefault="00A45A94" w:rsidP="00E12BA4">
      <w:pPr>
        <w:pStyle w:val="ListBullet2"/>
        <w:rPr>
          <w:sz w:val="12"/>
          <w:szCs w:val="12"/>
        </w:rPr>
      </w:pPr>
    </w:p>
    <w:p w14:paraId="043CD00D" w14:textId="77777777" w:rsidR="00A17A28" w:rsidRPr="00830D2C" w:rsidRDefault="00A17A28" w:rsidP="00096EF0">
      <w:pPr>
        <w:pStyle w:val="ListBullet"/>
        <w:rPr>
          <w:sz w:val="20"/>
          <w:szCs w:val="20"/>
        </w:rPr>
      </w:pPr>
      <w:r w:rsidRPr="00830D2C">
        <w:rPr>
          <w:sz w:val="20"/>
          <w:szCs w:val="20"/>
        </w:rPr>
        <w:t xml:space="preserve">Internal controls, insurance, disaster recovery capabilities, and other risk management measures maintained by the </w:t>
      </w:r>
      <w:r w:rsidR="003724E7" w:rsidRPr="00830D2C">
        <w:rPr>
          <w:sz w:val="20"/>
          <w:szCs w:val="20"/>
        </w:rPr>
        <w:t>v</w:t>
      </w:r>
      <w:r w:rsidRPr="00830D2C">
        <w:rPr>
          <w:sz w:val="20"/>
          <w:szCs w:val="20"/>
        </w:rPr>
        <w:t>endor.</w:t>
      </w:r>
    </w:p>
    <w:p w14:paraId="2C0647CF" w14:textId="77777777" w:rsidR="00A45A94" w:rsidRPr="00830D2C" w:rsidRDefault="00096EF0" w:rsidP="00E12BA4">
      <w:pPr>
        <w:pStyle w:val="ListBullet2"/>
        <w:rPr>
          <w:sz w:val="12"/>
          <w:szCs w:val="12"/>
        </w:rPr>
      </w:pPr>
      <w:r w:rsidRPr="00830D2C">
        <w:rPr>
          <w:sz w:val="20"/>
          <w:szCs w:val="20"/>
        </w:rPr>
        <w:t xml:space="preserve"> </w:t>
      </w:r>
    </w:p>
    <w:p w14:paraId="07FD95D0" w14:textId="77777777" w:rsidR="00A17A28" w:rsidRPr="00830D2C" w:rsidRDefault="00A17A28" w:rsidP="00096EF0">
      <w:pPr>
        <w:pStyle w:val="ListBullet"/>
        <w:rPr>
          <w:sz w:val="20"/>
          <w:szCs w:val="20"/>
        </w:rPr>
      </w:pPr>
      <w:r w:rsidRPr="00830D2C">
        <w:rPr>
          <w:sz w:val="20"/>
          <w:szCs w:val="20"/>
        </w:rPr>
        <w:t xml:space="preserve">Data </w:t>
      </w:r>
      <w:r w:rsidR="00A45A94" w:rsidRPr="00830D2C">
        <w:rPr>
          <w:sz w:val="20"/>
          <w:szCs w:val="20"/>
        </w:rPr>
        <w:t>and system ownership and access.</w:t>
      </w:r>
      <w:r w:rsidR="00096EF0" w:rsidRPr="00830D2C">
        <w:rPr>
          <w:sz w:val="20"/>
          <w:szCs w:val="20"/>
        </w:rPr>
        <w:t xml:space="preserve">  </w:t>
      </w:r>
    </w:p>
    <w:p w14:paraId="2668F639" w14:textId="77777777" w:rsidR="00A45A94" w:rsidRPr="00830D2C" w:rsidRDefault="00A45A94" w:rsidP="00E12BA4">
      <w:pPr>
        <w:pStyle w:val="ListBullet2"/>
        <w:rPr>
          <w:sz w:val="12"/>
          <w:szCs w:val="12"/>
        </w:rPr>
      </w:pPr>
    </w:p>
    <w:p w14:paraId="23BAC240" w14:textId="77777777" w:rsidR="00A17A28" w:rsidRPr="00830D2C" w:rsidRDefault="00A17A28" w:rsidP="00096EF0">
      <w:pPr>
        <w:pStyle w:val="ListBullet"/>
        <w:rPr>
          <w:sz w:val="20"/>
          <w:szCs w:val="20"/>
        </w:rPr>
      </w:pPr>
      <w:r w:rsidRPr="00830D2C">
        <w:rPr>
          <w:sz w:val="20"/>
          <w:szCs w:val="20"/>
        </w:rPr>
        <w:t>Liability for delayed or erroneous transactions and other potential risks.</w:t>
      </w:r>
    </w:p>
    <w:p w14:paraId="4EBAC70C" w14:textId="77777777" w:rsidR="00A45A94" w:rsidRPr="00830D2C" w:rsidRDefault="00A45A94" w:rsidP="00E12BA4">
      <w:pPr>
        <w:pStyle w:val="ListBullet2"/>
        <w:rPr>
          <w:sz w:val="12"/>
          <w:szCs w:val="12"/>
        </w:rPr>
      </w:pPr>
    </w:p>
    <w:p w14:paraId="6E73013B" w14:textId="77777777" w:rsidR="00A17A28" w:rsidRPr="00830D2C" w:rsidRDefault="00A17A28" w:rsidP="00096EF0">
      <w:pPr>
        <w:pStyle w:val="ListBullet"/>
        <w:rPr>
          <w:sz w:val="20"/>
          <w:szCs w:val="20"/>
        </w:rPr>
      </w:pPr>
      <w:r w:rsidRPr="00830D2C">
        <w:rPr>
          <w:sz w:val="20"/>
          <w:szCs w:val="20"/>
        </w:rPr>
        <w:t>Provision</w:t>
      </w:r>
      <w:r w:rsidR="00944199" w:rsidRPr="00830D2C">
        <w:rPr>
          <w:sz w:val="20"/>
          <w:szCs w:val="20"/>
        </w:rPr>
        <w:t xml:space="preserve"> to provide B</w:t>
      </w:r>
      <w:r w:rsidR="000154B0" w:rsidRPr="00830D2C">
        <w:rPr>
          <w:sz w:val="20"/>
          <w:szCs w:val="20"/>
        </w:rPr>
        <w:t xml:space="preserve">ank access </w:t>
      </w:r>
      <w:r w:rsidRPr="00830D2C">
        <w:rPr>
          <w:sz w:val="20"/>
          <w:szCs w:val="20"/>
        </w:rPr>
        <w:t xml:space="preserve">to internal or external audits or other reviews of the </w:t>
      </w:r>
      <w:r w:rsidR="003724E7" w:rsidRPr="00830D2C">
        <w:rPr>
          <w:sz w:val="20"/>
          <w:szCs w:val="20"/>
        </w:rPr>
        <w:t>v</w:t>
      </w:r>
      <w:r w:rsidRPr="00830D2C">
        <w:rPr>
          <w:sz w:val="20"/>
          <w:szCs w:val="20"/>
        </w:rPr>
        <w:t>endor’s operation</w:t>
      </w:r>
      <w:r w:rsidR="000154B0" w:rsidRPr="00830D2C">
        <w:rPr>
          <w:sz w:val="20"/>
          <w:szCs w:val="20"/>
        </w:rPr>
        <w:t>al</w:t>
      </w:r>
      <w:r w:rsidRPr="00830D2C">
        <w:rPr>
          <w:sz w:val="20"/>
          <w:szCs w:val="20"/>
        </w:rPr>
        <w:t xml:space="preserve"> and financial condition.</w:t>
      </w:r>
    </w:p>
    <w:p w14:paraId="4D032786" w14:textId="77777777" w:rsidR="007B4AC4" w:rsidRPr="00830D2C" w:rsidRDefault="007B4AC4" w:rsidP="00E12BA4">
      <w:pPr>
        <w:pStyle w:val="ListBullet2"/>
        <w:rPr>
          <w:sz w:val="12"/>
          <w:szCs w:val="12"/>
        </w:rPr>
      </w:pPr>
    </w:p>
    <w:p w14:paraId="0D101986" w14:textId="77777777" w:rsidR="00A17A28" w:rsidRPr="00830D2C" w:rsidRDefault="00A17A28" w:rsidP="00096EF0">
      <w:pPr>
        <w:pStyle w:val="ListBullet"/>
        <w:rPr>
          <w:sz w:val="20"/>
          <w:szCs w:val="20"/>
        </w:rPr>
      </w:pPr>
      <w:r w:rsidRPr="00830D2C">
        <w:rPr>
          <w:sz w:val="20"/>
          <w:szCs w:val="20"/>
        </w:rPr>
        <w:t>Compliance with applicable regulatory requirements.</w:t>
      </w:r>
    </w:p>
    <w:p w14:paraId="3DAFD4FD" w14:textId="77777777" w:rsidR="00324E78" w:rsidRPr="00830D2C" w:rsidRDefault="00324E78" w:rsidP="00324E78">
      <w:pPr>
        <w:pStyle w:val="ListBullet2"/>
        <w:rPr>
          <w:sz w:val="12"/>
          <w:szCs w:val="12"/>
        </w:rPr>
      </w:pPr>
    </w:p>
    <w:p w14:paraId="1D8AC74D" w14:textId="77777777" w:rsidR="00A17A28" w:rsidRPr="00830D2C" w:rsidRDefault="00A17A28" w:rsidP="00096EF0">
      <w:pPr>
        <w:pStyle w:val="ListBullet"/>
        <w:rPr>
          <w:sz w:val="20"/>
          <w:szCs w:val="20"/>
        </w:rPr>
      </w:pPr>
      <w:r w:rsidRPr="00830D2C">
        <w:rPr>
          <w:sz w:val="20"/>
          <w:szCs w:val="20"/>
        </w:rPr>
        <w:t>Provisions for handling disputes, contract changes, and contract termination.</w:t>
      </w:r>
    </w:p>
    <w:p w14:paraId="700CA332" w14:textId="77777777" w:rsidR="000E04D0" w:rsidRPr="002F4771" w:rsidRDefault="000E04D0" w:rsidP="00CD470A">
      <w:pPr>
        <w:pStyle w:val="ListBullet"/>
        <w:numPr>
          <w:ilvl w:val="0"/>
          <w:numId w:val="0"/>
        </w:numPr>
        <w:ind w:left="720" w:right="-36"/>
        <w:rPr>
          <w:i/>
        </w:rPr>
      </w:pPr>
      <w:r w:rsidRPr="002F4771">
        <w:t xml:space="preserve">Vendors with access to non-public sensitive customer information for covered accounts </w:t>
      </w:r>
      <w:r w:rsidR="00E214D5" w:rsidRPr="002F4771">
        <w:t xml:space="preserve">must </w:t>
      </w:r>
      <w:r w:rsidRPr="002F4771">
        <w:t>have policies and procedures in place to detect</w:t>
      </w:r>
      <w:r w:rsidR="00BE375F" w:rsidRPr="002F4771">
        <w:t>, prevent and mitigate Identity</w:t>
      </w:r>
      <w:r w:rsidR="00E214D5" w:rsidRPr="002F4771">
        <w:t xml:space="preserve"> T</w:t>
      </w:r>
      <w:r w:rsidRPr="002F4771">
        <w:t>heft</w:t>
      </w:r>
      <w:r w:rsidR="00E214D5" w:rsidRPr="002F4771">
        <w:t>,</w:t>
      </w:r>
      <w:r w:rsidRPr="002F4771">
        <w:t xml:space="preserve"> as required to comp</w:t>
      </w:r>
      <w:r w:rsidR="00BE375F" w:rsidRPr="002F4771">
        <w:t>l</w:t>
      </w:r>
      <w:r w:rsidRPr="002F4771">
        <w:t>y with the FACT Act.  Specifically, this involves recognizin</w:t>
      </w:r>
      <w:r w:rsidR="00E214D5" w:rsidRPr="002F4771">
        <w:t>g any “red flag”</w:t>
      </w:r>
      <w:r w:rsidRPr="002F4771">
        <w:t xml:space="preserve"> indicators that may arise or become app</w:t>
      </w:r>
      <w:r w:rsidR="002F4771">
        <w:t>arent during the course of the v</w:t>
      </w:r>
      <w:r w:rsidRPr="002F4771">
        <w:t>endor performing contracted processing services and operati</w:t>
      </w:r>
      <w:r w:rsidR="00BE375F" w:rsidRPr="002F4771">
        <w:t>onal support duties on behalf of</w:t>
      </w:r>
      <w:r w:rsidRPr="002F4771">
        <w:t xml:space="preserve"> the Bank.   </w:t>
      </w:r>
    </w:p>
    <w:p w14:paraId="2FDDA748" w14:textId="77777777" w:rsidR="00A17A28" w:rsidRPr="00A855F8" w:rsidRDefault="00A17A28" w:rsidP="00C46421">
      <w:pPr>
        <w:ind w:left="720" w:hanging="270"/>
        <w:rPr>
          <w:rFonts w:ascii="Arial" w:hAnsi="Arial" w:cs="Arial"/>
          <w:sz w:val="16"/>
          <w:szCs w:val="16"/>
        </w:rPr>
      </w:pPr>
    </w:p>
    <w:p w14:paraId="65674135" w14:textId="77777777" w:rsidR="00A17A28" w:rsidRPr="00D731AA" w:rsidRDefault="00890D79" w:rsidP="00BD5D68">
      <w:pPr>
        <w:pStyle w:val="BodyText2"/>
        <w:ind w:left="720" w:right="-126"/>
        <w:rPr>
          <w:rFonts w:ascii="Arial" w:hAnsi="Arial" w:cs="Arial"/>
          <w:sz w:val="22"/>
          <w:szCs w:val="22"/>
        </w:rPr>
      </w:pPr>
      <w:r w:rsidRPr="00D731AA">
        <w:rPr>
          <w:rFonts w:ascii="Arial" w:hAnsi="Arial" w:cs="Arial"/>
          <w:sz w:val="22"/>
          <w:szCs w:val="22"/>
        </w:rPr>
        <w:t>The t</w:t>
      </w:r>
      <w:r w:rsidR="00A17A28" w:rsidRPr="00D731AA">
        <w:rPr>
          <w:rFonts w:ascii="Arial" w:hAnsi="Arial" w:cs="Arial"/>
          <w:sz w:val="22"/>
          <w:szCs w:val="22"/>
        </w:rPr>
        <w:t xml:space="preserve">erms and conditions of each </w:t>
      </w:r>
      <w:r w:rsidR="007A72BC" w:rsidRPr="00E214D5">
        <w:rPr>
          <w:rFonts w:ascii="Arial" w:hAnsi="Arial" w:cs="Arial"/>
          <w:sz w:val="22"/>
          <w:szCs w:val="22"/>
        </w:rPr>
        <w:t>critical</w:t>
      </w:r>
      <w:r w:rsidR="009E5F78" w:rsidRPr="00D731AA">
        <w:rPr>
          <w:rFonts w:ascii="Arial" w:hAnsi="Arial" w:cs="Arial"/>
          <w:sz w:val="22"/>
          <w:szCs w:val="22"/>
        </w:rPr>
        <w:t xml:space="preserve"> </w:t>
      </w:r>
      <w:r w:rsidR="009818C9" w:rsidRPr="00D731AA">
        <w:rPr>
          <w:rFonts w:ascii="Arial" w:hAnsi="Arial" w:cs="Arial"/>
          <w:sz w:val="22"/>
          <w:szCs w:val="22"/>
        </w:rPr>
        <w:t xml:space="preserve">vendor </w:t>
      </w:r>
      <w:r w:rsidR="00A17A28" w:rsidRPr="00D731AA">
        <w:rPr>
          <w:rFonts w:ascii="Arial" w:hAnsi="Arial" w:cs="Arial"/>
          <w:sz w:val="22"/>
          <w:szCs w:val="22"/>
        </w:rPr>
        <w:t xml:space="preserve">contract will be reviewed by the </w:t>
      </w:r>
      <w:r w:rsidR="00944199">
        <w:rPr>
          <w:rFonts w:ascii="Arial" w:hAnsi="Arial" w:cs="Arial"/>
          <w:sz w:val="22"/>
          <w:szCs w:val="22"/>
        </w:rPr>
        <w:t>B</w:t>
      </w:r>
      <w:r w:rsidR="00A17A28" w:rsidRPr="00D731AA">
        <w:rPr>
          <w:rFonts w:ascii="Arial" w:hAnsi="Arial" w:cs="Arial"/>
          <w:sz w:val="22"/>
          <w:szCs w:val="22"/>
        </w:rPr>
        <w:t xml:space="preserve">ank’s legal counsel </w:t>
      </w:r>
      <w:r w:rsidR="00890385" w:rsidRPr="00D731AA">
        <w:rPr>
          <w:rFonts w:ascii="Arial" w:hAnsi="Arial" w:cs="Arial"/>
          <w:sz w:val="22"/>
          <w:szCs w:val="22"/>
        </w:rPr>
        <w:t>if/</w:t>
      </w:r>
      <w:r w:rsidR="003724E7" w:rsidRPr="00D731AA">
        <w:rPr>
          <w:rFonts w:ascii="Arial" w:hAnsi="Arial" w:cs="Arial"/>
          <w:sz w:val="22"/>
          <w:szCs w:val="22"/>
        </w:rPr>
        <w:t>when deemed advisable</w:t>
      </w:r>
      <w:r w:rsidR="002F4771">
        <w:rPr>
          <w:rFonts w:ascii="Arial" w:hAnsi="Arial" w:cs="Arial"/>
          <w:sz w:val="22"/>
          <w:szCs w:val="22"/>
        </w:rPr>
        <w:t xml:space="preserve"> 1)</w:t>
      </w:r>
      <w:r w:rsidR="003724E7" w:rsidRPr="00D731AA">
        <w:rPr>
          <w:rFonts w:ascii="Arial" w:hAnsi="Arial" w:cs="Arial"/>
          <w:sz w:val="22"/>
          <w:szCs w:val="22"/>
        </w:rPr>
        <w:t xml:space="preserve"> </w:t>
      </w:r>
      <w:r w:rsidR="00A17A28" w:rsidRPr="00D731AA">
        <w:rPr>
          <w:rFonts w:ascii="Arial" w:hAnsi="Arial" w:cs="Arial"/>
          <w:sz w:val="22"/>
          <w:szCs w:val="22"/>
        </w:rPr>
        <w:t xml:space="preserve">to ensure </w:t>
      </w:r>
      <w:r w:rsidR="003724E7" w:rsidRPr="00D731AA">
        <w:rPr>
          <w:rFonts w:ascii="Arial" w:hAnsi="Arial" w:cs="Arial"/>
          <w:sz w:val="22"/>
          <w:szCs w:val="22"/>
        </w:rPr>
        <w:t>the</w:t>
      </w:r>
      <w:r w:rsidR="002F4771">
        <w:rPr>
          <w:rFonts w:ascii="Arial" w:hAnsi="Arial" w:cs="Arial"/>
          <w:sz w:val="22"/>
          <w:szCs w:val="22"/>
        </w:rPr>
        <w:t xml:space="preserve"> </w:t>
      </w:r>
      <w:r w:rsidR="002F4771" w:rsidRPr="00D731AA">
        <w:rPr>
          <w:rFonts w:ascii="Arial" w:hAnsi="Arial" w:cs="Arial"/>
          <w:sz w:val="22"/>
          <w:szCs w:val="22"/>
        </w:rPr>
        <w:t>terms and conditions</w:t>
      </w:r>
      <w:r w:rsidR="002F4771">
        <w:rPr>
          <w:rFonts w:ascii="Arial" w:hAnsi="Arial" w:cs="Arial"/>
          <w:sz w:val="22"/>
          <w:szCs w:val="22"/>
        </w:rPr>
        <w:t xml:space="preserve"> </w:t>
      </w:r>
      <w:r w:rsidR="00A17A28" w:rsidRPr="00D731AA">
        <w:rPr>
          <w:rFonts w:ascii="Arial" w:hAnsi="Arial" w:cs="Arial"/>
          <w:sz w:val="22"/>
          <w:szCs w:val="22"/>
        </w:rPr>
        <w:t xml:space="preserve">are appropriate for the </w:t>
      </w:r>
      <w:r w:rsidR="00333254" w:rsidRPr="00D731AA">
        <w:rPr>
          <w:rFonts w:ascii="Arial" w:hAnsi="Arial" w:cs="Arial"/>
          <w:sz w:val="22"/>
          <w:szCs w:val="22"/>
        </w:rPr>
        <w:t xml:space="preserve">type of </w:t>
      </w:r>
      <w:r w:rsidR="00A17A28" w:rsidRPr="00D731AA">
        <w:rPr>
          <w:rFonts w:ascii="Arial" w:hAnsi="Arial" w:cs="Arial"/>
          <w:sz w:val="22"/>
          <w:szCs w:val="22"/>
        </w:rPr>
        <w:t>service</w:t>
      </w:r>
      <w:r w:rsidR="002F4771">
        <w:rPr>
          <w:rFonts w:ascii="Arial" w:hAnsi="Arial" w:cs="Arial"/>
          <w:sz w:val="22"/>
          <w:szCs w:val="22"/>
        </w:rPr>
        <w:t>(s)</w:t>
      </w:r>
      <w:r w:rsidR="00A17A28" w:rsidRPr="00D731AA">
        <w:rPr>
          <w:rFonts w:ascii="Arial" w:hAnsi="Arial" w:cs="Arial"/>
          <w:sz w:val="22"/>
          <w:szCs w:val="22"/>
        </w:rPr>
        <w:t xml:space="preserve"> being provided</w:t>
      </w:r>
      <w:r w:rsidR="002F4771">
        <w:rPr>
          <w:rFonts w:ascii="Arial" w:hAnsi="Arial" w:cs="Arial"/>
          <w:sz w:val="22"/>
          <w:szCs w:val="22"/>
        </w:rPr>
        <w:t>,</w:t>
      </w:r>
      <w:r w:rsidR="00A17A28" w:rsidRPr="00D731AA">
        <w:rPr>
          <w:rFonts w:ascii="Arial" w:hAnsi="Arial" w:cs="Arial"/>
          <w:sz w:val="22"/>
          <w:szCs w:val="22"/>
        </w:rPr>
        <w:t xml:space="preserve"> </w:t>
      </w:r>
      <w:r w:rsidRPr="00D731AA">
        <w:rPr>
          <w:rFonts w:ascii="Arial" w:hAnsi="Arial" w:cs="Arial"/>
          <w:sz w:val="22"/>
          <w:szCs w:val="22"/>
        </w:rPr>
        <w:t xml:space="preserve">and </w:t>
      </w:r>
      <w:r w:rsidR="002F4771">
        <w:rPr>
          <w:rFonts w:ascii="Arial" w:hAnsi="Arial" w:cs="Arial"/>
          <w:sz w:val="22"/>
          <w:szCs w:val="22"/>
        </w:rPr>
        <w:t xml:space="preserve">2) </w:t>
      </w:r>
      <w:r w:rsidR="002F4771" w:rsidRPr="00D731AA">
        <w:rPr>
          <w:rFonts w:ascii="Arial" w:hAnsi="Arial" w:cs="Arial"/>
          <w:sz w:val="22"/>
          <w:szCs w:val="22"/>
        </w:rPr>
        <w:t xml:space="preserve">to ensure </w:t>
      </w:r>
      <w:r w:rsidR="00333254" w:rsidRPr="00D731AA">
        <w:rPr>
          <w:rFonts w:ascii="Arial" w:hAnsi="Arial" w:cs="Arial"/>
          <w:sz w:val="22"/>
          <w:szCs w:val="22"/>
        </w:rPr>
        <w:t>the l</w:t>
      </w:r>
      <w:r w:rsidR="00A17A28" w:rsidRPr="00D731AA">
        <w:rPr>
          <w:rFonts w:ascii="Arial" w:hAnsi="Arial" w:cs="Arial"/>
          <w:sz w:val="22"/>
          <w:szCs w:val="22"/>
        </w:rPr>
        <w:t xml:space="preserve">evel of risk </w:t>
      </w:r>
      <w:r w:rsidRPr="00D731AA">
        <w:rPr>
          <w:rFonts w:ascii="Arial" w:hAnsi="Arial" w:cs="Arial"/>
          <w:sz w:val="22"/>
          <w:szCs w:val="22"/>
        </w:rPr>
        <w:t xml:space="preserve">involved is acceptable </w:t>
      </w:r>
      <w:r w:rsidR="00A17A28" w:rsidRPr="00D731AA">
        <w:rPr>
          <w:rFonts w:ascii="Arial" w:hAnsi="Arial" w:cs="Arial"/>
          <w:sz w:val="22"/>
          <w:szCs w:val="22"/>
        </w:rPr>
        <w:t xml:space="preserve">to the </w:t>
      </w:r>
      <w:r w:rsidRPr="00D731AA">
        <w:rPr>
          <w:rFonts w:ascii="Arial" w:hAnsi="Arial" w:cs="Arial"/>
          <w:sz w:val="22"/>
          <w:szCs w:val="22"/>
        </w:rPr>
        <w:t>B</w:t>
      </w:r>
      <w:r w:rsidR="00A17A28" w:rsidRPr="00D731AA">
        <w:rPr>
          <w:rFonts w:ascii="Arial" w:hAnsi="Arial" w:cs="Arial"/>
          <w:sz w:val="22"/>
          <w:szCs w:val="22"/>
        </w:rPr>
        <w:t>ank</w:t>
      </w:r>
      <w:r w:rsidRPr="00D731AA">
        <w:rPr>
          <w:rFonts w:ascii="Arial" w:hAnsi="Arial" w:cs="Arial"/>
          <w:sz w:val="22"/>
          <w:szCs w:val="22"/>
        </w:rPr>
        <w:t>.</w:t>
      </w:r>
    </w:p>
    <w:p w14:paraId="453D761B" w14:textId="77777777" w:rsidR="00890D79" w:rsidRPr="00A855F8" w:rsidRDefault="00890D79" w:rsidP="00F4599F">
      <w:pPr>
        <w:pStyle w:val="BodyText2"/>
        <w:rPr>
          <w:rFonts w:ascii="Arial" w:hAnsi="Arial" w:cs="Arial"/>
          <w:sz w:val="16"/>
          <w:szCs w:val="16"/>
        </w:rPr>
      </w:pPr>
    </w:p>
    <w:p w14:paraId="61E8BA34" w14:textId="77777777" w:rsidR="00A17A28" w:rsidRPr="00D731AA" w:rsidRDefault="00A17A28" w:rsidP="009A2949">
      <w:pPr>
        <w:pStyle w:val="ListNumber"/>
        <w:tabs>
          <w:tab w:val="num" w:pos="720"/>
        </w:tabs>
        <w:ind w:left="720"/>
        <w:rPr>
          <w:rFonts w:ascii="Arial" w:hAnsi="Arial" w:cs="Arial"/>
          <w:sz w:val="22"/>
          <w:szCs w:val="22"/>
        </w:rPr>
      </w:pPr>
      <w:r w:rsidRPr="00D731AA">
        <w:rPr>
          <w:rFonts w:ascii="Arial" w:hAnsi="Arial" w:cs="Arial"/>
          <w:b/>
          <w:sz w:val="22"/>
          <w:szCs w:val="22"/>
        </w:rPr>
        <w:t>Policies, Procedures, and Controls</w:t>
      </w:r>
      <w:r w:rsidRPr="00D731AA">
        <w:rPr>
          <w:rFonts w:ascii="Arial" w:hAnsi="Arial" w:cs="Arial"/>
          <w:sz w:val="22"/>
          <w:szCs w:val="22"/>
        </w:rPr>
        <w:t xml:space="preserve"> – The </w:t>
      </w:r>
      <w:r w:rsidR="003724E7" w:rsidRPr="00D731AA">
        <w:rPr>
          <w:rFonts w:ascii="Arial" w:hAnsi="Arial" w:cs="Arial"/>
          <w:sz w:val="22"/>
          <w:szCs w:val="22"/>
        </w:rPr>
        <w:t>v</w:t>
      </w:r>
      <w:r w:rsidRPr="00D731AA">
        <w:rPr>
          <w:rFonts w:ascii="Arial" w:hAnsi="Arial" w:cs="Arial"/>
          <w:sz w:val="22"/>
          <w:szCs w:val="22"/>
        </w:rPr>
        <w:t xml:space="preserve">endor should implement internal </w:t>
      </w:r>
      <w:r w:rsidR="00890385" w:rsidRPr="00D731AA">
        <w:rPr>
          <w:rFonts w:ascii="Arial" w:hAnsi="Arial" w:cs="Arial"/>
          <w:sz w:val="22"/>
          <w:szCs w:val="22"/>
        </w:rPr>
        <w:t xml:space="preserve">operational </w:t>
      </w:r>
      <w:r w:rsidRPr="00D731AA">
        <w:rPr>
          <w:rFonts w:ascii="Arial" w:hAnsi="Arial" w:cs="Arial"/>
          <w:sz w:val="22"/>
          <w:szCs w:val="22"/>
        </w:rPr>
        <w:t xml:space="preserve">control procedures, data security </w:t>
      </w:r>
      <w:r w:rsidR="00890385" w:rsidRPr="00D731AA">
        <w:rPr>
          <w:rFonts w:ascii="Arial" w:hAnsi="Arial" w:cs="Arial"/>
          <w:sz w:val="22"/>
          <w:szCs w:val="22"/>
        </w:rPr>
        <w:t xml:space="preserve">measures </w:t>
      </w:r>
      <w:r w:rsidRPr="00D731AA">
        <w:rPr>
          <w:rFonts w:ascii="Arial" w:hAnsi="Arial" w:cs="Arial"/>
          <w:sz w:val="22"/>
          <w:szCs w:val="22"/>
        </w:rPr>
        <w:t xml:space="preserve">and contingency </w:t>
      </w:r>
      <w:r w:rsidR="00890385" w:rsidRPr="00D731AA">
        <w:rPr>
          <w:rFonts w:ascii="Arial" w:hAnsi="Arial" w:cs="Arial"/>
          <w:sz w:val="22"/>
          <w:szCs w:val="22"/>
        </w:rPr>
        <w:t xml:space="preserve">planning </w:t>
      </w:r>
      <w:r w:rsidRPr="00D731AA">
        <w:rPr>
          <w:rFonts w:ascii="Arial" w:hAnsi="Arial" w:cs="Arial"/>
          <w:sz w:val="22"/>
          <w:szCs w:val="22"/>
        </w:rPr>
        <w:t xml:space="preserve">capabilities </w:t>
      </w:r>
      <w:r w:rsidR="003724E7" w:rsidRPr="00D731AA">
        <w:rPr>
          <w:rFonts w:ascii="Arial" w:hAnsi="Arial" w:cs="Arial"/>
          <w:sz w:val="22"/>
          <w:szCs w:val="22"/>
        </w:rPr>
        <w:t xml:space="preserve">which are comparable </w:t>
      </w:r>
      <w:r w:rsidRPr="00D731AA">
        <w:rPr>
          <w:rFonts w:ascii="Arial" w:hAnsi="Arial" w:cs="Arial"/>
          <w:sz w:val="22"/>
          <w:szCs w:val="22"/>
        </w:rPr>
        <w:t>to those the Bank would utilize if the activity</w:t>
      </w:r>
      <w:r w:rsidR="00890D79" w:rsidRPr="00D731AA">
        <w:rPr>
          <w:rFonts w:ascii="Arial" w:hAnsi="Arial" w:cs="Arial"/>
          <w:sz w:val="22"/>
          <w:szCs w:val="22"/>
        </w:rPr>
        <w:t xml:space="preserve"> or </w:t>
      </w:r>
      <w:r w:rsidR="003724E7" w:rsidRPr="00D731AA">
        <w:rPr>
          <w:rFonts w:ascii="Arial" w:hAnsi="Arial" w:cs="Arial"/>
          <w:sz w:val="22"/>
          <w:szCs w:val="22"/>
        </w:rPr>
        <w:t>service</w:t>
      </w:r>
      <w:r w:rsidRPr="00D731AA">
        <w:rPr>
          <w:rFonts w:ascii="Arial" w:hAnsi="Arial" w:cs="Arial"/>
          <w:sz w:val="22"/>
          <w:szCs w:val="22"/>
        </w:rPr>
        <w:t xml:space="preserve"> w</w:t>
      </w:r>
      <w:r w:rsidR="00890D79" w:rsidRPr="00D731AA">
        <w:rPr>
          <w:rFonts w:ascii="Arial" w:hAnsi="Arial" w:cs="Arial"/>
          <w:sz w:val="22"/>
          <w:szCs w:val="22"/>
        </w:rPr>
        <w:t xml:space="preserve">as </w:t>
      </w:r>
      <w:r w:rsidRPr="00D731AA">
        <w:rPr>
          <w:rFonts w:ascii="Arial" w:hAnsi="Arial" w:cs="Arial"/>
          <w:sz w:val="22"/>
          <w:szCs w:val="22"/>
        </w:rPr>
        <w:t xml:space="preserve">performed internally. </w:t>
      </w:r>
      <w:r w:rsidR="00944199">
        <w:rPr>
          <w:rFonts w:ascii="Arial" w:hAnsi="Arial" w:cs="Arial"/>
          <w:sz w:val="22"/>
          <w:szCs w:val="22"/>
        </w:rPr>
        <w:t xml:space="preserve"> </w:t>
      </w:r>
      <w:r w:rsidRPr="00D731AA">
        <w:rPr>
          <w:rFonts w:ascii="Arial" w:hAnsi="Arial" w:cs="Arial"/>
          <w:sz w:val="22"/>
          <w:szCs w:val="22"/>
        </w:rPr>
        <w:t xml:space="preserve">Appropriate controls </w:t>
      </w:r>
      <w:r w:rsidR="00890385" w:rsidRPr="00D731AA">
        <w:rPr>
          <w:rFonts w:ascii="Arial" w:hAnsi="Arial" w:cs="Arial"/>
          <w:sz w:val="22"/>
          <w:szCs w:val="22"/>
        </w:rPr>
        <w:t xml:space="preserve">are required whenever a vendor processes </w:t>
      </w:r>
      <w:r w:rsidRPr="00D731AA">
        <w:rPr>
          <w:rFonts w:ascii="Arial" w:hAnsi="Arial" w:cs="Arial"/>
          <w:sz w:val="22"/>
          <w:szCs w:val="22"/>
        </w:rPr>
        <w:t xml:space="preserve">transactions </w:t>
      </w:r>
      <w:r w:rsidR="00890385" w:rsidRPr="00D731AA">
        <w:rPr>
          <w:rFonts w:ascii="Arial" w:hAnsi="Arial" w:cs="Arial"/>
          <w:sz w:val="22"/>
          <w:szCs w:val="22"/>
        </w:rPr>
        <w:t>and handles customer f</w:t>
      </w:r>
      <w:r w:rsidRPr="00D731AA">
        <w:rPr>
          <w:rFonts w:ascii="Arial" w:hAnsi="Arial" w:cs="Arial"/>
          <w:sz w:val="22"/>
          <w:szCs w:val="22"/>
        </w:rPr>
        <w:t xml:space="preserve">unds on behalf of the Bank. </w:t>
      </w:r>
    </w:p>
    <w:p w14:paraId="383C5946" w14:textId="77777777" w:rsidR="00A17A28" w:rsidRPr="00A855F8" w:rsidRDefault="00A17A28" w:rsidP="009A2949">
      <w:pPr>
        <w:tabs>
          <w:tab w:val="num" w:pos="720"/>
        </w:tabs>
        <w:ind w:left="720" w:hanging="360"/>
        <w:rPr>
          <w:rFonts w:ascii="Arial" w:hAnsi="Arial" w:cs="Arial"/>
          <w:sz w:val="16"/>
          <w:szCs w:val="16"/>
        </w:rPr>
      </w:pPr>
    </w:p>
    <w:p w14:paraId="7E3999FC" w14:textId="77777777" w:rsidR="00A17A28" w:rsidRPr="00D731AA" w:rsidRDefault="00A17A28" w:rsidP="009A2949">
      <w:pPr>
        <w:pStyle w:val="ListNumber"/>
        <w:tabs>
          <w:tab w:val="num" w:pos="720"/>
        </w:tabs>
        <w:ind w:left="720"/>
        <w:rPr>
          <w:rFonts w:ascii="Arial" w:hAnsi="Arial" w:cs="Arial"/>
          <w:sz w:val="22"/>
          <w:szCs w:val="22"/>
        </w:rPr>
      </w:pPr>
      <w:r w:rsidRPr="00D731AA">
        <w:rPr>
          <w:rFonts w:ascii="Arial" w:hAnsi="Arial" w:cs="Arial"/>
          <w:b/>
          <w:sz w:val="22"/>
          <w:szCs w:val="22"/>
        </w:rPr>
        <w:t>Ongoing Monitoring</w:t>
      </w:r>
      <w:r w:rsidRPr="00D731AA">
        <w:rPr>
          <w:rFonts w:ascii="Arial" w:hAnsi="Arial" w:cs="Arial"/>
          <w:sz w:val="22"/>
          <w:szCs w:val="22"/>
        </w:rPr>
        <w:t xml:space="preserve"> – The Bank will review the operational performance of </w:t>
      </w:r>
      <w:r w:rsidR="007A72BC" w:rsidRPr="00E214D5">
        <w:rPr>
          <w:rFonts w:ascii="Arial" w:hAnsi="Arial" w:cs="Arial"/>
          <w:sz w:val="22"/>
          <w:szCs w:val="22"/>
        </w:rPr>
        <w:t>critical</w:t>
      </w:r>
      <w:r w:rsidRPr="00D731AA">
        <w:rPr>
          <w:rFonts w:ascii="Arial" w:hAnsi="Arial" w:cs="Arial"/>
          <w:sz w:val="22"/>
          <w:szCs w:val="22"/>
        </w:rPr>
        <w:t xml:space="preserve"> </w:t>
      </w:r>
      <w:r w:rsidR="00A746B7" w:rsidRPr="00D731AA">
        <w:rPr>
          <w:rFonts w:ascii="Arial" w:hAnsi="Arial" w:cs="Arial"/>
          <w:sz w:val="22"/>
          <w:szCs w:val="22"/>
        </w:rPr>
        <w:t>v</w:t>
      </w:r>
      <w:r w:rsidRPr="00D731AA">
        <w:rPr>
          <w:rFonts w:ascii="Arial" w:hAnsi="Arial" w:cs="Arial"/>
          <w:sz w:val="22"/>
          <w:szCs w:val="22"/>
        </w:rPr>
        <w:t xml:space="preserve">endors on an ongoing basis to ensure the </w:t>
      </w:r>
      <w:r w:rsidR="00A746B7" w:rsidRPr="00D731AA">
        <w:rPr>
          <w:rFonts w:ascii="Arial" w:hAnsi="Arial" w:cs="Arial"/>
          <w:sz w:val="22"/>
          <w:szCs w:val="22"/>
        </w:rPr>
        <w:t>v</w:t>
      </w:r>
      <w:r w:rsidRPr="00D731AA">
        <w:rPr>
          <w:rFonts w:ascii="Arial" w:hAnsi="Arial" w:cs="Arial"/>
          <w:sz w:val="22"/>
          <w:szCs w:val="22"/>
        </w:rPr>
        <w:t xml:space="preserve">endor is meeting </w:t>
      </w:r>
      <w:r w:rsidR="00890385" w:rsidRPr="00D731AA">
        <w:rPr>
          <w:rFonts w:ascii="Arial" w:hAnsi="Arial" w:cs="Arial"/>
          <w:sz w:val="22"/>
          <w:szCs w:val="22"/>
        </w:rPr>
        <w:t xml:space="preserve">the service level commitments of the </w:t>
      </w:r>
      <w:r w:rsidRPr="00D731AA">
        <w:rPr>
          <w:rFonts w:ascii="Arial" w:hAnsi="Arial" w:cs="Arial"/>
          <w:sz w:val="22"/>
          <w:szCs w:val="22"/>
        </w:rPr>
        <w:t>contract</w:t>
      </w:r>
      <w:r w:rsidR="00890385" w:rsidRPr="00D731AA">
        <w:rPr>
          <w:rFonts w:ascii="Arial" w:hAnsi="Arial" w:cs="Arial"/>
          <w:sz w:val="22"/>
          <w:szCs w:val="22"/>
        </w:rPr>
        <w:t>.</w:t>
      </w:r>
      <w:r w:rsidRPr="00D731AA">
        <w:rPr>
          <w:rFonts w:ascii="Arial" w:hAnsi="Arial" w:cs="Arial"/>
          <w:sz w:val="22"/>
          <w:szCs w:val="22"/>
        </w:rPr>
        <w:t xml:space="preserve">  </w:t>
      </w:r>
      <w:r w:rsidR="009E5F78" w:rsidRPr="00D731AA">
        <w:rPr>
          <w:rFonts w:ascii="Arial" w:hAnsi="Arial" w:cs="Arial"/>
          <w:sz w:val="22"/>
          <w:szCs w:val="22"/>
        </w:rPr>
        <w:t>Division M</w:t>
      </w:r>
      <w:r w:rsidRPr="00D731AA">
        <w:rPr>
          <w:rFonts w:ascii="Arial" w:hAnsi="Arial" w:cs="Arial"/>
          <w:sz w:val="22"/>
          <w:szCs w:val="22"/>
        </w:rPr>
        <w:t>anagers will be primarily responsible for completing this evaluation</w:t>
      </w:r>
      <w:r w:rsidR="009E5F78" w:rsidRPr="00D731AA">
        <w:rPr>
          <w:rFonts w:ascii="Arial" w:hAnsi="Arial" w:cs="Arial"/>
          <w:sz w:val="22"/>
          <w:szCs w:val="22"/>
        </w:rPr>
        <w:t xml:space="preserve"> at least </w:t>
      </w:r>
      <w:r w:rsidRPr="00D731AA">
        <w:rPr>
          <w:rFonts w:ascii="Arial" w:hAnsi="Arial" w:cs="Arial"/>
          <w:sz w:val="22"/>
          <w:szCs w:val="22"/>
        </w:rPr>
        <w:t>annually</w:t>
      </w:r>
      <w:r w:rsidR="009E5F78" w:rsidRPr="00D731AA">
        <w:rPr>
          <w:rFonts w:ascii="Arial" w:hAnsi="Arial" w:cs="Arial"/>
          <w:sz w:val="22"/>
          <w:szCs w:val="22"/>
        </w:rPr>
        <w:t>.</w:t>
      </w:r>
    </w:p>
    <w:p w14:paraId="02D5444C" w14:textId="77777777" w:rsidR="00A17A28" w:rsidRPr="002244FE" w:rsidRDefault="00A17A28" w:rsidP="009A2949">
      <w:pPr>
        <w:tabs>
          <w:tab w:val="num" w:pos="720"/>
        </w:tabs>
        <w:ind w:left="720" w:hanging="360"/>
        <w:rPr>
          <w:rFonts w:ascii="Arial" w:hAnsi="Arial" w:cs="Arial"/>
          <w:sz w:val="16"/>
          <w:szCs w:val="16"/>
        </w:rPr>
      </w:pPr>
    </w:p>
    <w:p w14:paraId="4AA9D2E1" w14:textId="77777777" w:rsidR="00AC3D05" w:rsidRPr="00AC3D05" w:rsidRDefault="00A17A28" w:rsidP="00F74797">
      <w:pPr>
        <w:pStyle w:val="ListNumber"/>
        <w:tabs>
          <w:tab w:val="num" w:pos="720"/>
        </w:tabs>
        <w:ind w:left="720" w:right="-126"/>
        <w:rPr>
          <w:rFonts w:ascii="Arial" w:hAnsi="Arial" w:cs="Arial"/>
          <w:sz w:val="22"/>
          <w:szCs w:val="22"/>
        </w:rPr>
      </w:pPr>
      <w:r w:rsidRPr="00D731AA">
        <w:rPr>
          <w:rFonts w:ascii="Arial" w:hAnsi="Arial" w:cs="Arial"/>
          <w:b/>
          <w:sz w:val="22"/>
          <w:szCs w:val="22"/>
        </w:rPr>
        <w:t>Information Access</w:t>
      </w:r>
      <w:r w:rsidRPr="00D731AA">
        <w:rPr>
          <w:rFonts w:ascii="Arial" w:hAnsi="Arial" w:cs="Arial"/>
          <w:sz w:val="22"/>
          <w:szCs w:val="22"/>
        </w:rPr>
        <w:t xml:space="preserve"> – The Bank will ensure that it has complete and immediate access to current </w:t>
      </w:r>
      <w:r w:rsidR="00890D79" w:rsidRPr="00D731AA">
        <w:rPr>
          <w:rFonts w:ascii="Arial" w:hAnsi="Arial" w:cs="Arial"/>
          <w:sz w:val="22"/>
          <w:szCs w:val="22"/>
        </w:rPr>
        <w:t xml:space="preserve">data </w:t>
      </w:r>
      <w:r w:rsidRPr="00D731AA">
        <w:rPr>
          <w:rFonts w:ascii="Arial" w:hAnsi="Arial" w:cs="Arial"/>
          <w:sz w:val="22"/>
          <w:szCs w:val="22"/>
        </w:rPr>
        <w:t xml:space="preserve">and appropriate back-up information </w:t>
      </w:r>
      <w:r w:rsidR="00890D79" w:rsidRPr="00D731AA">
        <w:rPr>
          <w:rFonts w:ascii="Arial" w:hAnsi="Arial" w:cs="Arial"/>
          <w:sz w:val="22"/>
          <w:szCs w:val="22"/>
        </w:rPr>
        <w:t xml:space="preserve">for </w:t>
      </w:r>
      <w:r w:rsidR="007A72BC" w:rsidRPr="00E214D5">
        <w:rPr>
          <w:rFonts w:ascii="Arial" w:hAnsi="Arial" w:cs="Arial"/>
          <w:sz w:val="22"/>
          <w:szCs w:val="22"/>
        </w:rPr>
        <w:t>critical</w:t>
      </w:r>
      <w:r w:rsidRPr="00E214D5">
        <w:rPr>
          <w:rFonts w:ascii="Arial" w:hAnsi="Arial" w:cs="Arial"/>
          <w:sz w:val="22"/>
          <w:szCs w:val="22"/>
        </w:rPr>
        <w:t xml:space="preserve"> </w:t>
      </w:r>
      <w:r w:rsidRPr="00D731AA">
        <w:rPr>
          <w:rFonts w:ascii="Arial" w:hAnsi="Arial" w:cs="Arial"/>
          <w:sz w:val="22"/>
          <w:szCs w:val="22"/>
        </w:rPr>
        <w:t xml:space="preserve">operations maintained or processed by an outside </w:t>
      </w:r>
      <w:r w:rsidR="00A746B7" w:rsidRPr="00D731AA">
        <w:rPr>
          <w:rFonts w:ascii="Arial" w:hAnsi="Arial" w:cs="Arial"/>
          <w:sz w:val="22"/>
          <w:szCs w:val="22"/>
        </w:rPr>
        <w:t>v</w:t>
      </w:r>
      <w:r w:rsidRPr="00D731AA">
        <w:rPr>
          <w:rFonts w:ascii="Arial" w:hAnsi="Arial" w:cs="Arial"/>
          <w:sz w:val="22"/>
          <w:szCs w:val="22"/>
        </w:rPr>
        <w:t>endor.</w:t>
      </w:r>
    </w:p>
    <w:p w14:paraId="700BCF37" w14:textId="77777777" w:rsidR="00A17A28" w:rsidRDefault="00A17A28" w:rsidP="009A2949">
      <w:pPr>
        <w:tabs>
          <w:tab w:val="num" w:pos="720"/>
        </w:tabs>
        <w:ind w:left="720" w:hanging="360"/>
        <w:rPr>
          <w:rFonts w:ascii="Arial" w:hAnsi="Arial" w:cs="Arial"/>
          <w:sz w:val="16"/>
          <w:szCs w:val="16"/>
        </w:rPr>
      </w:pPr>
    </w:p>
    <w:p w14:paraId="10195AC8" w14:textId="77777777" w:rsidR="00755081" w:rsidRDefault="00AC3D05" w:rsidP="00755081">
      <w:pPr>
        <w:tabs>
          <w:tab w:val="num" w:pos="720"/>
        </w:tabs>
        <w:ind w:left="720" w:right="-162" w:hanging="360"/>
        <w:rPr>
          <w:rFonts w:ascii="Arial" w:hAnsi="Arial" w:cs="Arial"/>
          <w:sz w:val="22"/>
          <w:szCs w:val="22"/>
        </w:rPr>
      </w:pPr>
      <w:r w:rsidRPr="00AC3D05">
        <w:rPr>
          <w:rFonts w:ascii="Arial" w:hAnsi="Arial" w:cs="Arial"/>
          <w:sz w:val="22"/>
          <w:szCs w:val="22"/>
        </w:rPr>
        <w:t>6</w:t>
      </w:r>
      <w:r>
        <w:rPr>
          <w:rFonts w:ascii="Arial" w:hAnsi="Arial" w:cs="Arial"/>
          <w:sz w:val="16"/>
          <w:szCs w:val="16"/>
        </w:rPr>
        <w:t>.</w:t>
      </w:r>
      <w:r>
        <w:rPr>
          <w:rFonts w:ascii="Arial" w:hAnsi="Arial" w:cs="Arial"/>
          <w:sz w:val="16"/>
          <w:szCs w:val="16"/>
        </w:rPr>
        <w:tab/>
      </w:r>
      <w:r w:rsidR="00A17A28" w:rsidRPr="00AC3D05">
        <w:rPr>
          <w:rFonts w:ascii="Arial" w:hAnsi="Arial" w:cs="Arial"/>
          <w:b/>
          <w:sz w:val="22"/>
          <w:szCs w:val="22"/>
        </w:rPr>
        <w:t>Audit</w:t>
      </w:r>
      <w:r w:rsidR="00A746B7" w:rsidRPr="00AC3D05">
        <w:rPr>
          <w:rFonts w:ascii="Arial" w:hAnsi="Arial" w:cs="Arial"/>
          <w:b/>
          <w:sz w:val="22"/>
          <w:szCs w:val="22"/>
        </w:rPr>
        <w:t xml:space="preserve"> Consideration</w:t>
      </w:r>
      <w:r w:rsidR="00A17A28" w:rsidRPr="00AC3D05">
        <w:rPr>
          <w:rFonts w:ascii="Arial" w:hAnsi="Arial" w:cs="Arial"/>
          <w:sz w:val="22"/>
          <w:szCs w:val="22"/>
        </w:rPr>
        <w:t xml:space="preserve"> – The Bank’s </w:t>
      </w:r>
      <w:r w:rsidR="00A746B7" w:rsidRPr="00AC3D05">
        <w:rPr>
          <w:rFonts w:ascii="Arial" w:hAnsi="Arial" w:cs="Arial"/>
          <w:sz w:val="22"/>
          <w:szCs w:val="22"/>
        </w:rPr>
        <w:t>a</w:t>
      </w:r>
      <w:r w:rsidR="00A17A28" w:rsidRPr="00AC3D05">
        <w:rPr>
          <w:rFonts w:ascii="Arial" w:hAnsi="Arial" w:cs="Arial"/>
          <w:sz w:val="22"/>
          <w:szCs w:val="22"/>
        </w:rPr>
        <w:t xml:space="preserve">uditors will review the oversight of </w:t>
      </w:r>
      <w:r w:rsidR="007A72BC" w:rsidRPr="00AC3D05">
        <w:rPr>
          <w:rFonts w:ascii="Arial" w:hAnsi="Arial" w:cs="Arial"/>
          <w:sz w:val="22"/>
          <w:szCs w:val="22"/>
        </w:rPr>
        <w:t>critical</w:t>
      </w:r>
      <w:r w:rsidR="00A17A28" w:rsidRPr="00AC3D05">
        <w:rPr>
          <w:rFonts w:ascii="Arial" w:hAnsi="Arial" w:cs="Arial"/>
          <w:sz w:val="22"/>
          <w:szCs w:val="22"/>
        </w:rPr>
        <w:t xml:space="preserve"> </w:t>
      </w:r>
      <w:r w:rsidR="00A746B7" w:rsidRPr="00AC3D05">
        <w:rPr>
          <w:rFonts w:ascii="Arial" w:hAnsi="Arial" w:cs="Arial"/>
          <w:sz w:val="22"/>
          <w:szCs w:val="22"/>
        </w:rPr>
        <w:t>v</w:t>
      </w:r>
      <w:r w:rsidR="00A17A28" w:rsidRPr="00AC3D05">
        <w:rPr>
          <w:rFonts w:ascii="Arial" w:hAnsi="Arial" w:cs="Arial"/>
          <w:sz w:val="22"/>
          <w:szCs w:val="22"/>
        </w:rPr>
        <w:t xml:space="preserve">endors by </w:t>
      </w:r>
      <w:r w:rsidR="002B5780">
        <w:rPr>
          <w:rFonts w:ascii="Arial" w:hAnsi="Arial" w:cs="Arial"/>
          <w:sz w:val="22"/>
          <w:szCs w:val="22"/>
        </w:rPr>
        <w:t>B</w:t>
      </w:r>
      <w:r w:rsidR="00A746B7" w:rsidRPr="00AC3D05">
        <w:rPr>
          <w:rFonts w:ascii="Arial" w:hAnsi="Arial" w:cs="Arial"/>
          <w:sz w:val="22"/>
          <w:szCs w:val="22"/>
        </w:rPr>
        <w:t xml:space="preserve">ank management </w:t>
      </w:r>
      <w:r w:rsidR="00A17A28" w:rsidRPr="00AC3D05">
        <w:rPr>
          <w:rFonts w:ascii="Arial" w:hAnsi="Arial" w:cs="Arial"/>
          <w:sz w:val="22"/>
          <w:szCs w:val="22"/>
        </w:rPr>
        <w:t xml:space="preserve">and others, including regulators. </w:t>
      </w:r>
      <w:r w:rsidR="000A29BE">
        <w:rPr>
          <w:rFonts w:ascii="Arial" w:hAnsi="Arial" w:cs="Arial"/>
          <w:sz w:val="22"/>
          <w:szCs w:val="22"/>
        </w:rPr>
        <w:t xml:space="preserve"> </w:t>
      </w:r>
      <w:r w:rsidR="00A17A28" w:rsidRPr="00AC3D05">
        <w:rPr>
          <w:rFonts w:ascii="Arial" w:hAnsi="Arial" w:cs="Arial"/>
          <w:sz w:val="22"/>
          <w:szCs w:val="22"/>
        </w:rPr>
        <w:t xml:space="preserve">Audits of </w:t>
      </w:r>
      <w:r w:rsidR="007A72BC" w:rsidRPr="00AC3D05">
        <w:rPr>
          <w:rFonts w:ascii="Arial" w:hAnsi="Arial" w:cs="Arial"/>
          <w:sz w:val="22"/>
          <w:szCs w:val="22"/>
        </w:rPr>
        <w:t>critical</w:t>
      </w:r>
      <w:r w:rsidR="00A17A28" w:rsidRPr="00AC3D05">
        <w:rPr>
          <w:rFonts w:ascii="Arial" w:hAnsi="Arial" w:cs="Arial"/>
          <w:sz w:val="22"/>
          <w:szCs w:val="22"/>
        </w:rPr>
        <w:t xml:space="preserve"> </w:t>
      </w:r>
      <w:r w:rsidR="00A746B7" w:rsidRPr="00AC3D05">
        <w:rPr>
          <w:rFonts w:ascii="Arial" w:hAnsi="Arial" w:cs="Arial"/>
          <w:sz w:val="22"/>
          <w:szCs w:val="22"/>
        </w:rPr>
        <w:t>v</w:t>
      </w:r>
      <w:r w:rsidR="00A17A28" w:rsidRPr="00AC3D05">
        <w:rPr>
          <w:rFonts w:ascii="Arial" w:hAnsi="Arial" w:cs="Arial"/>
          <w:sz w:val="22"/>
          <w:szCs w:val="22"/>
        </w:rPr>
        <w:t xml:space="preserve">endors should be conducted according to </w:t>
      </w:r>
    </w:p>
    <w:p w14:paraId="37BC706A" w14:textId="77777777" w:rsidR="00A17A28" w:rsidRPr="00AC3D05" w:rsidRDefault="00755081" w:rsidP="00755081">
      <w:pPr>
        <w:tabs>
          <w:tab w:val="num" w:pos="720"/>
        </w:tabs>
        <w:ind w:left="720" w:right="-162"/>
        <w:rPr>
          <w:rFonts w:ascii="Arial" w:hAnsi="Arial" w:cs="Arial"/>
          <w:sz w:val="22"/>
          <w:szCs w:val="22"/>
        </w:rPr>
      </w:pPr>
      <w:r>
        <w:rPr>
          <w:rFonts w:ascii="Arial" w:hAnsi="Arial" w:cs="Arial"/>
          <w:sz w:val="22"/>
          <w:szCs w:val="22"/>
        </w:rPr>
        <w:t xml:space="preserve">a </w:t>
      </w:r>
      <w:r w:rsidR="00A17A28" w:rsidRPr="00AC3D05">
        <w:rPr>
          <w:rFonts w:ascii="Arial" w:hAnsi="Arial" w:cs="Arial"/>
          <w:sz w:val="22"/>
          <w:szCs w:val="22"/>
        </w:rPr>
        <w:t xml:space="preserve">scope and frequency appropriate for the </w:t>
      </w:r>
      <w:proofErr w:type="gramStart"/>
      <w:r w:rsidR="00A17A28" w:rsidRPr="00AC3D05">
        <w:rPr>
          <w:rFonts w:ascii="Arial" w:hAnsi="Arial" w:cs="Arial"/>
          <w:sz w:val="22"/>
          <w:szCs w:val="22"/>
        </w:rPr>
        <w:t>particular function</w:t>
      </w:r>
      <w:proofErr w:type="gramEnd"/>
      <w:r w:rsidR="00A17A28" w:rsidRPr="00AC3D05">
        <w:rPr>
          <w:rFonts w:ascii="Arial" w:hAnsi="Arial" w:cs="Arial"/>
          <w:sz w:val="22"/>
          <w:szCs w:val="22"/>
        </w:rPr>
        <w:t>.</w:t>
      </w:r>
      <w:r w:rsidR="00AC3D05" w:rsidRPr="00AC3D05">
        <w:rPr>
          <w:rFonts w:ascii="Arial" w:hAnsi="Arial" w:cs="Arial"/>
          <w:sz w:val="22"/>
          <w:szCs w:val="22"/>
        </w:rPr>
        <w:t xml:space="preserve">  </w:t>
      </w:r>
      <w:r w:rsidR="00A17A28" w:rsidRPr="00AC3D05">
        <w:rPr>
          <w:rFonts w:ascii="Arial" w:hAnsi="Arial" w:cs="Arial"/>
          <w:sz w:val="22"/>
          <w:szCs w:val="22"/>
        </w:rPr>
        <w:t xml:space="preserve">For third-party data processing services, the Bank will obtain copies of </w:t>
      </w:r>
      <w:r w:rsidR="00A17A28" w:rsidRPr="000875E7">
        <w:rPr>
          <w:rFonts w:ascii="Arial" w:hAnsi="Arial" w:cs="Arial"/>
          <w:sz w:val="22"/>
          <w:szCs w:val="22"/>
        </w:rPr>
        <w:t>the audit report</w:t>
      </w:r>
      <w:r w:rsidR="00FB5FF0" w:rsidRPr="000875E7">
        <w:rPr>
          <w:rFonts w:ascii="Arial" w:hAnsi="Arial" w:cs="Arial"/>
          <w:sz w:val="22"/>
          <w:szCs w:val="22"/>
        </w:rPr>
        <w:t>(s) describing the service organizations internal controls</w:t>
      </w:r>
      <w:r w:rsidR="00A17A28" w:rsidRPr="000875E7">
        <w:rPr>
          <w:rFonts w:ascii="Arial" w:hAnsi="Arial" w:cs="Arial"/>
          <w:sz w:val="22"/>
          <w:szCs w:val="22"/>
        </w:rPr>
        <w:t xml:space="preserve"> and </w:t>
      </w:r>
      <w:r w:rsidR="00AC3D05" w:rsidRPr="000875E7">
        <w:rPr>
          <w:rFonts w:ascii="Arial" w:hAnsi="Arial" w:cs="Arial"/>
          <w:sz w:val="22"/>
          <w:szCs w:val="22"/>
        </w:rPr>
        <w:t>m</w:t>
      </w:r>
      <w:r w:rsidR="00A17A28" w:rsidRPr="000875E7">
        <w:rPr>
          <w:rFonts w:ascii="Arial" w:hAnsi="Arial" w:cs="Arial"/>
          <w:sz w:val="22"/>
          <w:szCs w:val="22"/>
        </w:rPr>
        <w:t xml:space="preserve">anagement’s response. </w:t>
      </w:r>
      <w:r w:rsidR="00AC3D05" w:rsidRPr="000875E7">
        <w:rPr>
          <w:rFonts w:ascii="Arial" w:hAnsi="Arial" w:cs="Arial"/>
          <w:sz w:val="22"/>
          <w:szCs w:val="22"/>
        </w:rPr>
        <w:t xml:space="preserve"> </w:t>
      </w:r>
      <w:r w:rsidR="00890385" w:rsidRPr="000875E7">
        <w:rPr>
          <w:rFonts w:ascii="Arial" w:hAnsi="Arial" w:cs="Arial"/>
          <w:sz w:val="22"/>
          <w:szCs w:val="22"/>
        </w:rPr>
        <w:t xml:space="preserve">Audit reports </w:t>
      </w:r>
      <w:r w:rsidR="00A17A28" w:rsidRPr="000875E7">
        <w:rPr>
          <w:rFonts w:ascii="Arial" w:hAnsi="Arial" w:cs="Arial"/>
          <w:sz w:val="22"/>
          <w:szCs w:val="22"/>
        </w:rPr>
        <w:t xml:space="preserve">of </w:t>
      </w:r>
      <w:r w:rsidR="007A72BC" w:rsidRPr="000875E7">
        <w:rPr>
          <w:rFonts w:ascii="Arial" w:hAnsi="Arial" w:cs="Arial"/>
          <w:sz w:val="22"/>
          <w:szCs w:val="22"/>
        </w:rPr>
        <w:t>critical</w:t>
      </w:r>
      <w:r w:rsidR="00A17A28" w:rsidRPr="000875E7">
        <w:rPr>
          <w:rFonts w:ascii="Arial" w:hAnsi="Arial" w:cs="Arial"/>
          <w:sz w:val="22"/>
          <w:szCs w:val="22"/>
        </w:rPr>
        <w:t xml:space="preserve"> </w:t>
      </w:r>
      <w:r w:rsidR="00A746B7" w:rsidRPr="000875E7">
        <w:rPr>
          <w:rFonts w:ascii="Arial" w:hAnsi="Arial" w:cs="Arial"/>
          <w:sz w:val="22"/>
          <w:szCs w:val="22"/>
        </w:rPr>
        <w:t>v</w:t>
      </w:r>
      <w:r w:rsidR="00A17A28" w:rsidRPr="000875E7">
        <w:rPr>
          <w:rFonts w:ascii="Arial" w:hAnsi="Arial" w:cs="Arial"/>
          <w:sz w:val="22"/>
          <w:szCs w:val="22"/>
        </w:rPr>
        <w:t xml:space="preserve">endors will be </w:t>
      </w:r>
      <w:r w:rsidR="00FB5FF0" w:rsidRPr="000875E7">
        <w:rPr>
          <w:rFonts w:ascii="Arial" w:hAnsi="Arial" w:cs="Arial"/>
          <w:sz w:val="22"/>
          <w:szCs w:val="22"/>
        </w:rPr>
        <w:t xml:space="preserve">available to </w:t>
      </w:r>
      <w:r w:rsidR="00A17A28" w:rsidRPr="000875E7">
        <w:rPr>
          <w:rFonts w:ascii="Arial" w:hAnsi="Arial" w:cs="Arial"/>
          <w:sz w:val="22"/>
          <w:szCs w:val="22"/>
        </w:rPr>
        <w:t xml:space="preserve">the Audit Committee of the Board of Directors. </w:t>
      </w:r>
      <w:r w:rsidR="00944199" w:rsidRPr="000875E7">
        <w:rPr>
          <w:rFonts w:ascii="Arial" w:hAnsi="Arial" w:cs="Arial"/>
          <w:sz w:val="22"/>
          <w:szCs w:val="22"/>
        </w:rPr>
        <w:t xml:space="preserve"> </w:t>
      </w:r>
      <w:r w:rsidR="00A17A28" w:rsidRPr="000875E7">
        <w:rPr>
          <w:rFonts w:ascii="Arial" w:hAnsi="Arial" w:cs="Arial"/>
          <w:sz w:val="22"/>
          <w:szCs w:val="22"/>
        </w:rPr>
        <w:t>Audit results and management responses will be available to examiners at their request</w:t>
      </w:r>
      <w:r w:rsidR="00A17A28" w:rsidRPr="00AC3D05">
        <w:rPr>
          <w:rFonts w:ascii="Arial" w:hAnsi="Arial" w:cs="Arial"/>
          <w:sz w:val="22"/>
          <w:szCs w:val="22"/>
        </w:rPr>
        <w:t xml:space="preserve">. </w:t>
      </w:r>
      <w:r w:rsidR="00AC3D05" w:rsidRPr="00AC3D05">
        <w:rPr>
          <w:rFonts w:ascii="Arial" w:hAnsi="Arial" w:cs="Arial"/>
          <w:sz w:val="22"/>
          <w:szCs w:val="22"/>
        </w:rPr>
        <w:t>The B</w:t>
      </w:r>
      <w:r w:rsidR="00A746B7" w:rsidRPr="00AC3D05">
        <w:rPr>
          <w:rFonts w:ascii="Arial" w:hAnsi="Arial" w:cs="Arial"/>
          <w:sz w:val="22"/>
          <w:szCs w:val="22"/>
        </w:rPr>
        <w:t xml:space="preserve">ank’s auditors </w:t>
      </w:r>
      <w:r w:rsidR="00A17A28" w:rsidRPr="00AC3D05">
        <w:rPr>
          <w:rFonts w:ascii="Arial" w:hAnsi="Arial" w:cs="Arial"/>
          <w:sz w:val="22"/>
          <w:szCs w:val="22"/>
        </w:rPr>
        <w:t xml:space="preserve">will also audit compliance with </w:t>
      </w:r>
      <w:r w:rsidR="00A746B7" w:rsidRPr="00AC3D05">
        <w:rPr>
          <w:rFonts w:ascii="Arial" w:hAnsi="Arial" w:cs="Arial"/>
          <w:sz w:val="22"/>
          <w:szCs w:val="22"/>
        </w:rPr>
        <w:t>v</w:t>
      </w:r>
      <w:r w:rsidR="00A17A28" w:rsidRPr="00AC3D05">
        <w:rPr>
          <w:rFonts w:ascii="Arial" w:hAnsi="Arial" w:cs="Arial"/>
          <w:sz w:val="22"/>
          <w:szCs w:val="22"/>
        </w:rPr>
        <w:t>endor service level commitments and agreements.</w:t>
      </w:r>
    </w:p>
    <w:p w14:paraId="53317078" w14:textId="77777777" w:rsidR="00A17A28" w:rsidRPr="002244FE" w:rsidRDefault="00A17A28" w:rsidP="009A2949">
      <w:pPr>
        <w:tabs>
          <w:tab w:val="num" w:pos="720"/>
        </w:tabs>
        <w:ind w:left="720" w:hanging="360"/>
        <w:rPr>
          <w:rFonts w:ascii="Arial" w:hAnsi="Arial" w:cs="Arial"/>
          <w:sz w:val="16"/>
          <w:szCs w:val="16"/>
        </w:rPr>
      </w:pPr>
    </w:p>
    <w:p w14:paraId="2AB47CE4" w14:textId="77777777" w:rsidR="00A17A28" w:rsidRPr="00D731AA" w:rsidRDefault="00AC3D05" w:rsidP="00AC3D05">
      <w:pPr>
        <w:pStyle w:val="ListNumber"/>
        <w:numPr>
          <w:ilvl w:val="0"/>
          <w:numId w:val="0"/>
        </w:numPr>
        <w:tabs>
          <w:tab w:val="left" w:pos="720"/>
        </w:tabs>
        <w:ind w:left="720" w:hanging="360"/>
        <w:rPr>
          <w:rFonts w:ascii="Arial" w:hAnsi="Arial" w:cs="Arial"/>
          <w:sz w:val="22"/>
          <w:szCs w:val="22"/>
        </w:rPr>
      </w:pPr>
      <w:r w:rsidRPr="00AC3D05">
        <w:rPr>
          <w:rFonts w:ascii="Arial" w:hAnsi="Arial" w:cs="Arial"/>
          <w:sz w:val="22"/>
          <w:szCs w:val="22"/>
        </w:rPr>
        <w:t>7</w:t>
      </w:r>
      <w:r>
        <w:rPr>
          <w:rFonts w:ascii="Arial" w:hAnsi="Arial" w:cs="Arial"/>
          <w:b/>
          <w:sz w:val="22"/>
          <w:szCs w:val="22"/>
        </w:rPr>
        <w:tab/>
      </w:r>
      <w:r w:rsidR="00A17A28" w:rsidRPr="00D731AA">
        <w:rPr>
          <w:rFonts w:ascii="Arial" w:hAnsi="Arial" w:cs="Arial"/>
          <w:b/>
          <w:sz w:val="22"/>
          <w:szCs w:val="22"/>
        </w:rPr>
        <w:t>Contingency Plans</w:t>
      </w:r>
      <w:r w:rsidR="00A17A28" w:rsidRPr="00D731AA">
        <w:rPr>
          <w:rFonts w:ascii="Arial" w:hAnsi="Arial" w:cs="Arial"/>
          <w:sz w:val="22"/>
          <w:szCs w:val="22"/>
        </w:rPr>
        <w:t xml:space="preserve"> – The Bank will ensure that appropriate business resumption plans have been prepared by the </w:t>
      </w:r>
      <w:r w:rsidR="00A746B7" w:rsidRPr="00D731AA">
        <w:rPr>
          <w:rFonts w:ascii="Arial" w:hAnsi="Arial" w:cs="Arial"/>
          <w:sz w:val="22"/>
          <w:szCs w:val="22"/>
        </w:rPr>
        <w:t>v</w:t>
      </w:r>
      <w:r w:rsidR="00A17A28" w:rsidRPr="00D731AA">
        <w:rPr>
          <w:rFonts w:ascii="Arial" w:hAnsi="Arial" w:cs="Arial"/>
          <w:sz w:val="22"/>
          <w:szCs w:val="22"/>
        </w:rPr>
        <w:t xml:space="preserve">endor. </w:t>
      </w:r>
      <w:r w:rsidR="002F483B">
        <w:rPr>
          <w:rFonts w:ascii="Arial" w:hAnsi="Arial" w:cs="Arial"/>
          <w:sz w:val="22"/>
          <w:szCs w:val="22"/>
        </w:rPr>
        <w:t xml:space="preserve"> </w:t>
      </w:r>
      <w:r w:rsidR="00A17A28" w:rsidRPr="00D731AA">
        <w:rPr>
          <w:rFonts w:ascii="Arial" w:hAnsi="Arial" w:cs="Arial"/>
          <w:sz w:val="22"/>
          <w:szCs w:val="22"/>
        </w:rPr>
        <w:t xml:space="preserve">Where appropriate, the Bank’s contingency plans </w:t>
      </w:r>
      <w:r w:rsidR="00CE36B2" w:rsidRPr="00D731AA">
        <w:rPr>
          <w:rFonts w:ascii="Arial" w:hAnsi="Arial" w:cs="Arial"/>
          <w:sz w:val="22"/>
          <w:szCs w:val="22"/>
        </w:rPr>
        <w:t xml:space="preserve">will </w:t>
      </w:r>
      <w:r w:rsidR="00A17A28" w:rsidRPr="00D731AA">
        <w:rPr>
          <w:rFonts w:ascii="Arial" w:hAnsi="Arial" w:cs="Arial"/>
          <w:sz w:val="22"/>
          <w:szCs w:val="22"/>
        </w:rPr>
        <w:t xml:space="preserve">also include </w:t>
      </w:r>
      <w:r w:rsidR="00CE36B2" w:rsidRPr="00D731AA">
        <w:rPr>
          <w:rFonts w:ascii="Arial" w:hAnsi="Arial" w:cs="Arial"/>
          <w:sz w:val="22"/>
          <w:szCs w:val="22"/>
        </w:rPr>
        <w:t xml:space="preserve">provision </w:t>
      </w:r>
      <w:r w:rsidR="00A17A28" w:rsidRPr="00D731AA">
        <w:rPr>
          <w:rFonts w:ascii="Arial" w:hAnsi="Arial" w:cs="Arial"/>
          <w:sz w:val="22"/>
          <w:szCs w:val="22"/>
        </w:rPr>
        <w:t>for continuance of processing activities</w:t>
      </w:r>
      <w:r w:rsidR="00CE36B2" w:rsidRPr="00D731AA">
        <w:rPr>
          <w:rFonts w:ascii="Arial" w:hAnsi="Arial" w:cs="Arial"/>
          <w:sz w:val="22"/>
          <w:szCs w:val="22"/>
        </w:rPr>
        <w:t xml:space="preserve"> (</w:t>
      </w:r>
      <w:r w:rsidR="00A17A28" w:rsidRPr="00D731AA">
        <w:rPr>
          <w:rFonts w:ascii="Arial" w:hAnsi="Arial" w:cs="Arial"/>
          <w:sz w:val="22"/>
          <w:szCs w:val="22"/>
        </w:rPr>
        <w:t>either in-house or with another provider</w:t>
      </w:r>
      <w:r w:rsidR="00CE36B2" w:rsidRPr="00D731AA">
        <w:rPr>
          <w:rFonts w:ascii="Arial" w:hAnsi="Arial" w:cs="Arial"/>
          <w:sz w:val="22"/>
          <w:szCs w:val="22"/>
        </w:rPr>
        <w:t xml:space="preserve">) if </w:t>
      </w:r>
      <w:r w:rsidR="00A17A28" w:rsidRPr="00D731AA">
        <w:rPr>
          <w:rFonts w:ascii="Arial" w:hAnsi="Arial" w:cs="Arial"/>
          <w:sz w:val="22"/>
          <w:szCs w:val="22"/>
        </w:rPr>
        <w:t xml:space="preserve">the </w:t>
      </w:r>
      <w:r w:rsidR="00A746B7" w:rsidRPr="00D731AA">
        <w:rPr>
          <w:rFonts w:ascii="Arial" w:hAnsi="Arial" w:cs="Arial"/>
          <w:sz w:val="22"/>
          <w:szCs w:val="22"/>
        </w:rPr>
        <w:t>v</w:t>
      </w:r>
      <w:r w:rsidR="00A17A28" w:rsidRPr="00D731AA">
        <w:rPr>
          <w:rFonts w:ascii="Arial" w:hAnsi="Arial" w:cs="Arial"/>
          <w:sz w:val="22"/>
          <w:szCs w:val="22"/>
        </w:rPr>
        <w:t xml:space="preserve">endor is no longer able to provide the contracted services or the arrangement is otherwise unexpectedly </w:t>
      </w:r>
      <w:r w:rsidR="00CE36B2" w:rsidRPr="00D731AA">
        <w:rPr>
          <w:rFonts w:ascii="Arial" w:hAnsi="Arial" w:cs="Arial"/>
          <w:sz w:val="22"/>
          <w:szCs w:val="22"/>
        </w:rPr>
        <w:t xml:space="preserve">disrupted. </w:t>
      </w:r>
    </w:p>
    <w:p w14:paraId="692813BD" w14:textId="77777777" w:rsidR="00C30CCB" w:rsidRDefault="00C30CCB" w:rsidP="009A2949">
      <w:pPr>
        <w:pStyle w:val="BodyText2"/>
        <w:tabs>
          <w:tab w:val="num" w:pos="720"/>
        </w:tabs>
        <w:ind w:left="720" w:hanging="360"/>
        <w:rPr>
          <w:rFonts w:ascii="Arial" w:hAnsi="Arial" w:cs="Arial"/>
          <w:sz w:val="22"/>
          <w:szCs w:val="22"/>
        </w:rPr>
      </w:pPr>
    </w:p>
    <w:p w14:paraId="418A1C7E" w14:textId="77777777" w:rsidR="00A17A28" w:rsidRPr="00D731AA" w:rsidRDefault="00A17A28" w:rsidP="00F4599F">
      <w:pPr>
        <w:pStyle w:val="BodyText2"/>
        <w:rPr>
          <w:rFonts w:ascii="Arial" w:hAnsi="Arial" w:cs="Arial"/>
          <w:b/>
          <w:sz w:val="22"/>
          <w:szCs w:val="22"/>
        </w:rPr>
      </w:pPr>
      <w:r w:rsidRPr="00D731AA">
        <w:rPr>
          <w:rFonts w:ascii="Arial" w:hAnsi="Arial" w:cs="Arial"/>
          <w:b/>
          <w:sz w:val="22"/>
          <w:szCs w:val="22"/>
        </w:rPr>
        <w:t>Ongoing Vendor Risk Evaluations</w:t>
      </w:r>
    </w:p>
    <w:p w14:paraId="6A73D7A7" w14:textId="77777777" w:rsidR="00A17A28" w:rsidRPr="009F730D" w:rsidRDefault="00A17A28" w:rsidP="00F4599F">
      <w:pPr>
        <w:pStyle w:val="BodyText2"/>
        <w:rPr>
          <w:rFonts w:ascii="Arial" w:hAnsi="Arial" w:cs="Arial"/>
          <w:sz w:val="16"/>
          <w:szCs w:val="16"/>
        </w:rPr>
      </w:pPr>
    </w:p>
    <w:p w14:paraId="7924FF40" w14:textId="77777777" w:rsidR="008213BE" w:rsidRPr="008213BE" w:rsidRDefault="008213BE" w:rsidP="008213BE">
      <w:pPr>
        <w:rPr>
          <w:rFonts w:ascii="Arial" w:hAnsi="Arial" w:cs="Arial"/>
          <w:sz w:val="22"/>
          <w:szCs w:val="22"/>
        </w:rPr>
      </w:pPr>
      <w:r w:rsidRPr="008213BE">
        <w:rPr>
          <w:rFonts w:ascii="Arial" w:hAnsi="Arial" w:cs="Arial"/>
          <w:sz w:val="22"/>
          <w:szCs w:val="22"/>
        </w:rPr>
        <w:t>Annually, each Division Manager will evaluate the risks and exposures associated with the critical vendor relationships they manage. The evaluation process will include the following for each vendor relationship managed:</w:t>
      </w:r>
    </w:p>
    <w:p w14:paraId="1B61356F" w14:textId="77777777" w:rsidR="008213BE" w:rsidRPr="000062E4" w:rsidRDefault="008213BE" w:rsidP="008213BE">
      <w:pPr>
        <w:rPr>
          <w:rFonts w:ascii="Arial" w:hAnsi="Arial" w:cs="Arial"/>
          <w:sz w:val="12"/>
          <w:szCs w:val="12"/>
        </w:rPr>
      </w:pPr>
    </w:p>
    <w:p w14:paraId="7B4BAE79" w14:textId="77777777" w:rsidR="008213BE" w:rsidRPr="00CD470A" w:rsidRDefault="008213BE" w:rsidP="00464BC0">
      <w:pPr>
        <w:numPr>
          <w:ilvl w:val="0"/>
          <w:numId w:val="11"/>
        </w:numPr>
        <w:tabs>
          <w:tab w:val="left" w:pos="0"/>
        </w:tabs>
        <w:ind w:right="-360"/>
        <w:rPr>
          <w:rFonts w:ascii="Arial" w:hAnsi="Arial" w:cs="Arial"/>
          <w:sz w:val="20"/>
          <w:szCs w:val="20"/>
        </w:rPr>
      </w:pPr>
      <w:r w:rsidRPr="00CD470A">
        <w:rPr>
          <w:rFonts w:ascii="Arial" w:hAnsi="Arial" w:cs="Arial"/>
          <w:sz w:val="20"/>
          <w:szCs w:val="20"/>
        </w:rPr>
        <w:t>An update of the key information regarding the vendor.</w:t>
      </w:r>
    </w:p>
    <w:p w14:paraId="21715F48" w14:textId="77777777" w:rsidR="00464BC0" w:rsidRPr="00CD470A" w:rsidRDefault="00464BC0" w:rsidP="00464BC0">
      <w:pPr>
        <w:tabs>
          <w:tab w:val="left" w:pos="0"/>
        </w:tabs>
        <w:ind w:left="720" w:right="-360"/>
        <w:rPr>
          <w:rFonts w:ascii="Arial" w:hAnsi="Arial" w:cs="Arial"/>
          <w:sz w:val="12"/>
          <w:szCs w:val="12"/>
        </w:rPr>
      </w:pPr>
    </w:p>
    <w:p w14:paraId="1561026F" w14:textId="77777777" w:rsidR="008213BE" w:rsidRPr="00CD470A" w:rsidRDefault="008213BE" w:rsidP="00464BC0">
      <w:pPr>
        <w:numPr>
          <w:ilvl w:val="0"/>
          <w:numId w:val="11"/>
        </w:numPr>
        <w:tabs>
          <w:tab w:val="left" w:pos="0"/>
        </w:tabs>
        <w:ind w:right="-360"/>
        <w:rPr>
          <w:rFonts w:ascii="Arial" w:hAnsi="Arial" w:cs="Arial"/>
          <w:sz w:val="20"/>
          <w:szCs w:val="20"/>
        </w:rPr>
      </w:pPr>
      <w:r w:rsidRPr="00CD470A">
        <w:rPr>
          <w:rFonts w:ascii="Arial" w:hAnsi="Arial" w:cs="Arial"/>
          <w:sz w:val="20"/>
          <w:szCs w:val="20"/>
        </w:rPr>
        <w:t>A review of the nature and purpose of the vendor relationship.</w:t>
      </w:r>
    </w:p>
    <w:p w14:paraId="45A7156B" w14:textId="77777777" w:rsidR="00464BC0" w:rsidRPr="00CD470A" w:rsidRDefault="00464BC0" w:rsidP="00464BC0">
      <w:pPr>
        <w:tabs>
          <w:tab w:val="left" w:pos="0"/>
        </w:tabs>
        <w:ind w:left="720" w:right="-360"/>
        <w:rPr>
          <w:rFonts w:ascii="Arial" w:hAnsi="Arial" w:cs="Arial"/>
          <w:sz w:val="12"/>
          <w:szCs w:val="12"/>
        </w:rPr>
      </w:pPr>
    </w:p>
    <w:p w14:paraId="35ED9372" w14:textId="77777777" w:rsidR="00464BC0" w:rsidRPr="00CD470A" w:rsidRDefault="00464BC0" w:rsidP="00464BC0">
      <w:pPr>
        <w:numPr>
          <w:ilvl w:val="0"/>
          <w:numId w:val="11"/>
        </w:numPr>
        <w:tabs>
          <w:tab w:val="left" w:pos="0"/>
        </w:tabs>
        <w:ind w:right="-360"/>
        <w:rPr>
          <w:rFonts w:ascii="Arial" w:hAnsi="Arial" w:cs="Arial"/>
          <w:sz w:val="20"/>
          <w:szCs w:val="20"/>
        </w:rPr>
      </w:pPr>
      <w:r w:rsidRPr="00CD470A">
        <w:rPr>
          <w:rFonts w:ascii="Arial" w:hAnsi="Arial" w:cs="Arial"/>
          <w:sz w:val="20"/>
          <w:szCs w:val="20"/>
        </w:rPr>
        <w:t>A review of the service level performance being provided by the vendor.</w:t>
      </w:r>
    </w:p>
    <w:p w14:paraId="763E53A1" w14:textId="77777777" w:rsidR="00464BC0" w:rsidRPr="00CD470A" w:rsidRDefault="00464BC0" w:rsidP="00464BC0">
      <w:pPr>
        <w:tabs>
          <w:tab w:val="left" w:pos="0"/>
        </w:tabs>
        <w:ind w:left="720" w:right="-360"/>
        <w:rPr>
          <w:rFonts w:ascii="Arial" w:hAnsi="Arial" w:cs="Arial"/>
          <w:sz w:val="12"/>
          <w:szCs w:val="12"/>
        </w:rPr>
      </w:pPr>
    </w:p>
    <w:p w14:paraId="501B31D0" w14:textId="77777777" w:rsidR="00464BC0" w:rsidRPr="00CD470A" w:rsidRDefault="00464BC0" w:rsidP="00E12BA4">
      <w:pPr>
        <w:numPr>
          <w:ilvl w:val="0"/>
          <w:numId w:val="11"/>
        </w:numPr>
        <w:tabs>
          <w:tab w:val="left" w:pos="0"/>
        </w:tabs>
        <w:ind w:right="18"/>
        <w:rPr>
          <w:rFonts w:ascii="Arial" w:hAnsi="Arial" w:cs="Arial"/>
          <w:sz w:val="20"/>
          <w:szCs w:val="20"/>
        </w:rPr>
      </w:pPr>
      <w:r w:rsidRPr="00CD470A">
        <w:rPr>
          <w:rFonts w:ascii="Arial" w:hAnsi="Arial" w:cs="Arial"/>
          <w:sz w:val="20"/>
          <w:szCs w:val="20"/>
        </w:rPr>
        <w:t>A review of the vendor’s report(s) on operational controls and testing (if available), and a written response to the User Control Considerations contained in the report(s).</w:t>
      </w:r>
    </w:p>
    <w:p w14:paraId="3E52C8D0" w14:textId="77777777" w:rsidR="00464BC0" w:rsidRPr="00CD470A" w:rsidRDefault="00464BC0" w:rsidP="00464BC0">
      <w:pPr>
        <w:tabs>
          <w:tab w:val="left" w:pos="0"/>
        </w:tabs>
        <w:ind w:left="720" w:right="-360"/>
        <w:rPr>
          <w:rFonts w:ascii="Arial" w:hAnsi="Arial" w:cs="Arial"/>
          <w:sz w:val="12"/>
          <w:szCs w:val="12"/>
        </w:rPr>
      </w:pPr>
    </w:p>
    <w:p w14:paraId="08EE9BA6" w14:textId="77777777" w:rsidR="002B153B" w:rsidRPr="00CD470A" w:rsidRDefault="002B153B" w:rsidP="00464BC0">
      <w:pPr>
        <w:numPr>
          <w:ilvl w:val="0"/>
          <w:numId w:val="11"/>
        </w:numPr>
        <w:tabs>
          <w:tab w:val="left" w:pos="0"/>
        </w:tabs>
        <w:ind w:right="-360"/>
        <w:rPr>
          <w:rFonts w:ascii="Arial" w:hAnsi="Arial" w:cs="Arial"/>
          <w:sz w:val="20"/>
          <w:szCs w:val="20"/>
        </w:rPr>
      </w:pPr>
      <w:r w:rsidRPr="00CD470A">
        <w:rPr>
          <w:rFonts w:ascii="Arial" w:hAnsi="Arial" w:cs="Arial"/>
          <w:sz w:val="20"/>
          <w:szCs w:val="20"/>
        </w:rPr>
        <w:t xml:space="preserve">A review of the credit analysis of the vendor’s financial statements, completed by a Bank Credit Analyst. </w:t>
      </w:r>
    </w:p>
    <w:p w14:paraId="44D5D8BD" w14:textId="77777777" w:rsidR="002B153B" w:rsidRPr="00CD470A" w:rsidRDefault="002B153B" w:rsidP="002B153B">
      <w:pPr>
        <w:tabs>
          <w:tab w:val="left" w:pos="0"/>
        </w:tabs>
        <w:ind w:left="720" w:right="-360"/>
        <w:rPr>
          <w:rFonts w:ascii="Arial" w:hAnsi="Arial" w:cs="Arial"/>
          <w:sz w:val="12"/>
          <w:szCs w:val="12"/>
        </w:rPr>
      </w:pPr>
      <w:r w:rsidRPr="00CD470A">
        <w:rPr>
          <w:rFonts w:ascii="Arial" w:hAnsi="Arial" w:cs="Arial"/>
          <w:sz w:val="20"/>
          <w:szCs w:val="20"/>
        </w:rPr>
        <w:t xml:space="preserve"> </w:t>
      </w:r>
    </w:p>
    <w:p w14:paraId="5AE8B5A8" w14:textId="77777777" w:rsidR="008213BE" w:rsidRPr="00CD470A" w:rsidRDefault="008213BE" w:rsidP="00464BC0">
      <w:pPr>
        <w:numPr>
          <w:ilvl w:val="0"/>
          <w:numId w:val="11"/>
        </w:numPr>
        <w:tabs>
          <w:tab w:val="left" w:pos="0"/>
        </w:tabs>
        <w:ind w:right="-360"/>
        <w:rPr>
          <w:rFonts w:ascii="Arial" w:hAnsi="Arial" w:cs="Arial"/>
          <w:sz w:val="20"/>
          <w:szCs w:val="20"/>
        </w:rPr>
      </w:pPr>
      <w:r w:rsidRPr="00CD470A">
        <w:rPr>
          <w:rFonts w:ascii="Arial" w:hAnsi="Arial" w:cs="Arial"/>
          <w:sz w:val="20"/>
          <w:szCs w:val="20"/>
        </w:rPr>
        <w:t>An assessment of the relative level of strategic, credit, operational, compliance and legal reputation risk associated with the vendor relationship.</w:t>
      </w:r>
    </w:p>
    <w:p w14:paraId="2C8DD68F" w14:textId="77777777" w:rsidR="008213BE" w:rsidRPr="000062E4" w:rsidRDefault="008213BE" w:rsidP="008213BE">
      <w:pPr>
        <w:rPr>
          <w:rFonts w:ascii="Arial" w:hAnsi="Arial" w:cs="Arial"/>
          <w:sz w:val="12"/>
          <w:szCs w:val="12"/>
        </w:rPr>
      </w:pPr>
    </w:p>
    <w:p w14:paraId="586CEE56" w14:textId="77777777" w:rsidR="008213BE" w:rsidRPr="008213BE" w:rsidRDefault="008213BE" w:rsidP="00E12BA4">
      <w:pPr>
        <w:ind w:right="18"/>
        <w:rPr>
          <w:rFonts w:ascii="Arial" w:hAnsi="Arial" w:cs="Arial"/>
          <w:sz w:val="22"/>
          <w:szCs w:val="22"/>
        </w:rPr>
      </w:pPr>
      <w:r w:rsidRPr="008213BE">
        <w:rPr>
          <w:rFonts w:ascii="Arial" w:hAnsi="Arial" w:cs="Arial"/>
          <w:sz w:val="22"/>
          <w:szCs w:val="22"/>
        </w:rPr>
        <w:t xml:space="preserve">A risk assessment will be prepared for each critical vendor utilizing the </w:t>
      </w:r>
      <w:r w:rsidRPr="008213BE">
        <w:rPr>
          <w:rFonts w:ascii="Arial" w:hAnsi="Arial" w:cs="Arial"/>
          <w:sz w:val="22"/>
          <w:szCs w:val="22"/>
          <w:u w:val="single"/>
        </w:rPr>
        <w:t>Vendor Risk Assessment</w:t>
      </w:r>
      <w:r w:rsidRPr="008213BE">
        <w:rPr>
          <w:rFonts w:ascii="Arial" w:hAnsi="Arial" w:cs="Arial"/>
          <w:sz w:val="22"/>
          <w:szCs w:val="22"/>
        </w:rPr>
        <w:t xml:space="preserve"> form attached as Appendix B of this policy</w:t>
      </w:r>
      <w:r w:rsidR="00464BC0">
        <w:rPr>
          <w:rFonts w:ascii="Arial" w:hAnsi="Arial" w:cs="Arial"/>
          <w:sz w:val="22"/>
          <w:szCs w:val="22"/>
        </w:rPr>
        <w:t xml:space="preserve">.  </w:t>
      </w:r>
      <w:r w:rsidRPr="008213BE">
        <w:rPr>
          <w:rFonts w:ascii="Arial" w:hAnsi="Arial" w:cs="Arial"/>
          <w:sz w:val="22"/>
          <w:szCs w:val="22"/>
        </w:rPr>
        <w:t>The Division Manager who acts as the Bank’s primary point of contact with the vendor will be primarily responsible for completing the risk assessment</w:t>
      </w:r>
      <w:r w:rsidR="009F4035">
        <w:rPr>
          <w:rFonts w:ascii="Arial" w:hAnsi="Arial" w:cs="Arial"/>
          <w:sz w:val="22"/>
          <w:szCs w:val="22"/>
        </w:rPr>
        <w:t>,</w:t>
      </w:r>
      <w:r w:rsidRPr="008213BE">
        <w:rPr>
          <w:rFonts w:ascii="Arial" w:hAnsi="Arial" w:cs="Arial"/>
          <w:sz w:val="22"/>
          <w:szCs w:val="22"/>
        </w:rPr>
        <w:t xml:space="preserve"> with the assistance of other appropriate departmental staff. </w:t>
      </w:r>
    </w:p>
    <w:p w14:paraId="66003088" w14:textId="77777777" w:rsidR="00CD470A" w:rsidRDefault="00CD470A" w:rsidP="00E12BA4">
      <w:pPr>
        <w:ind w:right="18"/>
        <w:rPr>
          <w:rFonts w:ascii="Arial" w:hAnsi="Arial" w:cs="Arial"/>
          <w:sz w:val="22"/>
          <w:szCs w:val="22"/>
        </w:rPr>
      </w:pPr>
    </w:p>
    <w:p w14:paraId="3052C2B3" w14:textId="77777777" w:rsidR="008213BE" w:rsidRPr="00E12BA4" w:rsidRDefault="002B153B" w:rsidP="00E12BA4">
      <w:pPr>
        <w:ind w:right="18"/>
        <w:rPr>
          <w:rFonts w:ascii="Arial" w:hAnsi="Arial" w:cs="Arial"/>
          <w:sz w:val="22"/>
          <w:szCs w:val="22"/>
        </w:rPr>
      </w:pPr>
      <w:r w:rsidRPr="00E12BA4">
        <w:rPr>
          <w:rFonts w:ascii="Arial" w:hAnsi="Arial" w:cs="Arial"/>
          <w:sz w:val="22"/>
          <w:szCs w:val="22"/>
        </w:rPr>
        <w:t>The Risk Manager will review the risk assessments and associated documentation, and prepare a</w:t>
      </w:r>
      <w:r w:rsidR="008213BE" w:rsidRPr="00E12BA4">
        <w:rPr>
          <w:rFonts w:ascii="Arial" w:hAnsi="Arial" w:cs="Arial"/>
          <w:sz w:val="22"/>
          <w:szCs w:val="22"/>
        </w:rPr>
        <w:t xml:space="preserve"> summary report of the </w:t>
      </w:r>
      <w:r w:rsidR="004A2A58" w:rsidRPr="00E12BA4">
        <w:rPr>
          <w:rFonts w:ascii="Arial" w:hAnsi="Arial" w:cs="Arial"/>
          <w:sz w:val="22"/>
          <w:szCs w:val="22"/>
        </w:rPr>
        <w:t xml:space="preserve">Bank’s </w:t>
      </w:r>
      <w:r w:rsidR="008213BE" w:rsidRPr="00E12BA4">
        <w:rPr>
          <w:rFonts w:ascii="Arial" w:hAnsi="Arial" w:cs="Arial"/>
          <w:sz w:val="22"/>
          <w:szCs w:val="22"/>
        </w:rPr>
        <w:t xml:space="preserve">critical vendor </w:t>
      </w:r>
      <w:r w:rsidR="004A2A58" w:rsidRPr="00E12BA4">
        <w:rPr>
          <w:rFonts w:ascii="Arial" w:hAnsi="Arial" w:cs="Arial"/>
          <w:sz w:val="22"/>
          <w:szCs w:val="22"/>
        </w:rPr>
        <w:t xml:space="preserve">risk </w:t>
      </w:r>
      <w:r w:rsidR="008213BE" w:rsidRPr="00E12BA4">
        <w:rPr>
          <w:rFonts w:ascii="Arial" w:hAnsi="Arial" w:cs="Arial"/>
          <w:sz w:val="22"/>
          <w:szCs w:val="22"/>
        </w:rPr>
        <w:t xml:space="preserve">assessments </w:t>
      </w:r>
      <w:r w:rsidR="004A2A58" w:rsidRPr="00E12BA4">
        <w:rPr>
          <w:rFonts w:ascii="Arial" w:hAnsi="Arial" w:cs="Arial"/>
          <w:sz w:val="22"/>
          <w:szCs w:val="22"/>
        </w:rPr>
        <w:t>to</w:t>
      </w:r>
      <w:r w:rsidR="008213BE" w:rsidRPr="00E12BA4">
        <w:rPr>
          <w:rFonts w:ascii="Arial" w:hAnsi="Arial" w:cs="Arial"/>
          <w:sz w:val="22"/>
          <w:szCs w:val="22"/>
        </w:rPr>
        <w:t xml:space="preserve"> be presented to the Board of Directors for review.</w:t>
      </w:r>
    </w:p>
    <w:p w14:paraId="72041914" w14:textId="77777777" w:rsidR="00033D16" w:rsidRPr="00033D16" w:rsidRDefault="00033D16" w:rsidP="00033D16">
      <w:pPr>
        <w:ind w:left="720" w:right="-306"/>
        <w:rPr>
          <w:rFonts w:ascii="Arial" w:eastAsia="Calibri" w:hAnsi="Arial" w:cs="Arial"/>
          <w:sz w:val="6"/>
          <w:szCs w:val="6"/>
        </w:rPr>
      </w:pPr>
    </w:p>
    <w:p w14:paraId="22D84306" w14:textId="77777777" w:rsidR="00F25BD9" w:rsidRDefault="00F25BD9" w:rsidP="00884BB9">
      <w:pPr>
        <w:jc w:val="center"/>
        <w:rPr>
          <w:rFonts w:ascii="Arial" w:hAnsi="Arial" w:cs="Arial"/>
          <w:sz w:val="22"/>
          <w:szCs w:val="22"/>
        </w:rPr>
      </w:pPr>
    </w:p>
    <w:p w14:paraId="794089F9" w14:textId="77777777" w:rsidR="00F25BD9" w:rsidRDefault="00F25BD9" w:rsidP="00884BB9">
      <w:pPr>
        <w:jc w:val="center"/>
        <w:rPr>
          <w:rFonts w:ascii="Arial" w:hAnsi="Arial" w:cs="Arial"/>
          <w:sz w:val="22"/>
          <w:szCs w:val="22"/>
        </w:rPr>
      </w:pPr>
    </w:p>
    <w:p w14:paraId="0121288C" w14:textId="77777777" w:rsidR="00F25BD9" w:rsidRDefault="00F25BD9" w:rsidP="00884BB9">
      <w:pPr>
        <w:jc w:val="center"/>
        <w:rPr>
          <w:rFonts w:ascii="Arial" w:hAnsi="Arial" w:cs="Arial"/>
          <w:sz w:val="22"/>
          <w:szCs w:val="22"/>
        </w:rPr>
      </w:pPr>
    </w:p>
    <w:p w14:paraId="2242FC1E" w14:textId="3BFA01BB" w:rsidR="00884BB9" w:rsidRPr="006374FF" w:rsidRDefault="000E40DB" w:rsidP="00884BB9">
      <w:pPr>
        <w:jc w:val="center"/>
        <w:rPr>
          <w:rFonts w:ascii="Arial" w:hAnsi="Arial" w:cs="Arial"/>
          <w:b/>
        </w:rPr>
      </w:pPr>
      <w:r>
        <w:rPr>
          <w:rFonts w:ascii="Arial" w:hAnsi="Arial" w:cs="Arial"/>
          <w:sz w:val="22"/>
          <w:szCs w:val="22"/>
        </w:rPr>
        <w:t>&lt;NAME&gt;</w:t>
      </w:r>
      <w:r w:rsidRPr="00D731AA">
        <w:rPr>
          <w:rFonts w:ascii="Arial" w:hAnsi="Arial" w:cs="Arial"/>
          <w:sz w:val="22"/>
          <w:szCs w:val="22"/>
        </w:rPr>
        <w:t xml:space="preserve"> </w:t>
      </w:r>
      <w:r w:rsidR="00884BB9" w:rsidRPr="006374FF">
        <w:rPr>
          <w:rFonts w:ascii="Arial" w:hAnsi="Arial" w:cs="Arial"/>
          <w:b/>
        </w:rPr>
        <w:t xml:space="preserve"> Bank</w:t>
      </w:r>
    </w:p>
    <w:p w14:paraId="7ECEDB71" w14:textId="77777777" w:rsidR="00884BB9" w:rsidRPr="006374FF" w:rsidRDefault="00884BB9" w:rsidP="00884BB9">
      <w:pPr>
        <w:jc w:val="center"/>
        <w:rPr>
          <w:rFonts w:ascii="Arial" w:hAnsi="Arial" w:cs="Arial"/>
          <w:b/>
        </w:rPr>
      </w:pPr>
      <w:r w:rsidRPr="006374FF">
        <w:rPr>
          <w:rFonts w:ascii="Arial" w:hAnsi="Arial" w:cs="Arial"/>
          <w:b/>
        </w:rPr>
        <w:t>Vendor Management Policy</w:t>
      </w:r>
    </w:p>
    <w:p w14:paraId="60C5885E" w14:textId="77777777" w:rsidR="00884BB9" w:rsidRPr="006374FF" w:rsidRDefault="00884BB9" w:rsidP="00884BB9">
      <w:pPr>
        <w:jc w:val="center"/>
        <w:rPr>
          <w:rFonts w:ascii="Arial" w:hAnsi="Arial" w:cs="Arial"/>
          <w:b/>
        </w:rPr>
      </w:pPr>
      <w:r w:rsidRPr="006374FF">
        <w:rPr>
          <w:rFonts w:ascii="Arial" w:hAnsi="Arial" w:cs="Arial"/>
          <w:b/>
        </w:rPr>
        <w:t>Appendix A – Critical Vendor List</w:t>
      </w:r>
    </w:p>
    <w:p w14:paraId="150D63FB" w14:textId="77777777" w:rsidR="00884BB9" w:rsidRDefault="00884BB9" w:rsidP="00884BB9">
      <w:pPr>
        <w:rPr>
          <w:rFonts w:ascii="Arial" w:hAnsi="Arial" w:cs="Arial"/>
          <w:b/>
          <w:sz w:val="22"/>
          <w:szCs w:val="22"/>
          <w:u w:val="single"/>
        </w:rPr>
      </w:pPr>
    </w:p>
    <w:p w14:paraId="3DC141E4" w14:textId="77777777" w:rsidR="00272073" w:rsidRPr="00884BB9" w:rsidRDefault="00272073" w:rsidP="00884BB9">
      <w:pPr>
        <w:rPr>
          <w:rFonts w:ascii="Arial" w:hAnsi="Arial" w:cs="Arial"/>
          <w:b/>
          <w:sz w:val="22"/>
          <w:szCs w:val="22"/>
          <w:u w:val="single"/>
        </w:rPr>
      </w:pPr>
    </w:p>
    <w:p w14:paraId="3A099A06" w14:textId="77777777" w:rsidR="00884BB9" w:rsidRPr="00884BB9" w:rsidRDefault="00884BB9" w:rsidP="00884BB9">
      <w:pPr>
        <w:tabs>
          <w:tab w:val="left" w:pos="360"/>
          <w:tab w:val="left" w:pos="5760"/>
        </w:tabs>
        <w:rPr>
          <w:rFonts w:ascii="Arial" w:hAnsi="Arial" w:cs="Arial"/>
          <w:b/>
          <w:sz w:val="22"/>
          <w:szCs w:val="22"/>
        </w:rPr>
      </w:pPr>
      <w:r w:rsidRPr="00884BB9">
        <w:rPr>
          <w:rFonts w:ascii="Arial" w:hAnsi="Arial" w:cs="Arial"/>
          <w:sz w:val="22"/>
          <w:szCs w:val="22"/>
        </w:rPr>
        <w:t xml:space="preserve">     </w:t>
      </w:r>
      <w:r w:rsidRPr="00884BB9">
        <w:rPr>
          <w:rFonts w:ascii="Arial" w:hAnsi="Arial" w:cs="Arial"/>
          <w:b/>
          <w:sz w:val="22"/>
          <w:szCs w:val="22"/>
          <w:u w:val="single"/>
        </w:rPr>
        <w:t>Critical Vendor</w:t>
      </w:r>
      <w:r w:rsidRPr="00884BB9">
        <w:rPr>
          <w:rFonts w:ascii="Arial" w:hAnsi="Arial" w:cs="Arial"/>
          <w:b/>
          <w:sz w:val="22"/>
          <w:szCs w:val="22"/>
        </w:rPr>
        <w:tab/>
      </w:r>
      <w:r w:rsidRPr="00884BB9">
        <w:rPr>
          <w:rFonts w:ascii="Arial" w:hAnsi="Arial" w:cs="Arial"/>
          <w:b/>
          <w:sz w:val="22"/>
          <w:szCs w:val="22"/>
          <w:u w:val="single"/>
        </w:rPr>
        <w:t>Service</w:t>
      </w:r>
      <w:r w:rsidR="00170B59">
        <w:rPr>
          <w:rFonts w:ascii="Arial" w:hAnsi="Arial" w:cs="Arial"/>
          <w:b/>
          <w:sz w:val="22"/>
          <w:szCs w:val="22"/>
          <w:u w:val="single"/>
        </w:rPr>
        <w:t>s</w:t>
      </w:r>
      <w:r w:rsidRPr="00884BB9">
        <w:rPr>
          <w:rFonts w:ascii="Arial" w:hAnsi="Arial" w:cs="Arial"/>
          <w:b/>
          <w:sz w:val="22"/>
          <w:szCs w:val="22"/>
          <w:u w:val="single"/>
        </w:rPr>
        <w:t xml:space="preserve"> Provided</w:t>
      </w:r>
    </w:p>
    <w:p w14:paraId="1D66BBFD" w14:textId="77777777" w:rsidR="00884BB9" w:rsidRPr="00884BB9" w:rsidRDefault="00884BB9" w:rsidP="00884BB9">
      <w:pPr>
        <w:rPr>
          <w:rFonts w:ascii="Arial" w:eastAsia="Calibri" w:hAnsi="Arial" w:cs="Arial"/>
          <w:b/>
          <w:sz w:val="22"/>
          <w:szCs w:val="22"/>
        </w:rPr>
      </w:pPr>
    </w:p>
    <w:p w14:paraId="09468A4B" w14:textId="77777777" w:rsidR="00884BB9" w:rsidRPr="00884BB9" w:rsidRDefault="00884BB9" w:rsidP="00884BB9">
      <w:pPr>
        <w:tabs>
          <w:tab w:val="left" w:pos="3600"/>
        </w:tabs>
        <w:ind w:left="3888" w:hanging="3888"/>
        <w:rPr>
          <w:rFonts w:ascii="Arial" w:eastAsia="Calibri" w:hAnsi="Arial" w:cs="Arial"/>
          <w:color w:val="0D0D0D"/>
          <w:sz w:val="22"/>
          <w:szCs w:val="22"/>
        </w:rPr>
      </w:pPr>
    </w:p>
    <w:p w14:paraId="72340741" w14:textId="77777777" w:rsidR="00A17A28" w:rsidRPr="008278BD" w:rsidRDefault="008278BD" w:rsidP="008278BD">
      <w:pPr>
        <w:pStyle w:val="BodyText2"/>
        <w:jc w:val="center"/>
        <w:rPr>
          <w:rFonts w:ascii="Arial" w:hAnsi="Arial" w:cs="Arial"/>
          <w:b/>
          <w:sz w:val="32"/>
          <w:szCs w:val="32"/>
        </w:rPr>
      </w:pPr>
      <w:r w:rsidRPr="008278BD">
        <w:rPr>
          <w:rFonts w:ascii="Arial" w:hAnsi="Arial" w:cs="Arial"/>
          <w:b/>
          <w:sz w:val="32"/>
          <w:szCs w:val="32"/>
        </w:rPr>
        <w:t>Information deleted because policy is being shared.</w:t>
      </w:r>
    </w:p>
    <w:p w14:paraId="510748AA" w14:textId="77777777" w:rsidR="00A17A28" w:rsidRPr="00D731AA" w:rsidRDefault="00A17A28">
      <w:pPr>
        <w:pStyle w:val="BodyText2"/>
        <w:rPr>
          <w:rFonts w:ascii="Arial" w:hAnsi="Arial" w:cs="Arial"/>
          <w:b/>
          <w:sz w:val="22"/>
          <w:szCs w:val="22"/>
        </w:rPr>
      </w:pPr>
    </w:p>
    <w:p w14:paraId="1F7B8BEF" w14:textId="77777777" w:rsidR="00A17A28" w:rsidRPr="00D731AA" w:rsidRDefault="00A17A28">
      <w:pPr>
        <w:pStyle w:val="BodyText2"/>
        <w:rPr>
          <w:rFonts w:ascii="Arial" w:hAnsi="Arial" w:cs="Arial"/>
          <w:b/>
          <w:sz w:val="22"/>
          <w:szCs w:val="22"/>
        </w:rPr>
      </w:pPr>
    </w:p>
    <w:p w14:paraId="61B4120F" w14:textId="77777777" w:rsidR="00A17A28" w:rsidRPr="00D731AA" w:rsidRDefault="00A17A28">
      <w:pPr>
        <w:pStyle w:val="BodyText2"/>
        <w:rPr>
          <w:rFonts w:ascii="Arial" w:hAnsi="Arial" w:cs="Arial"/>
          <w:b/>
          <w:sz w:val="22"/>
          <w:szCs w:val="22"/>
        </w:rPr>
      </w:pPr>
    </w:p>
    <w:p w14:paraId="5425B92B" w14:textId="77777777" w:rsidR="00A17A28" w:rsidRPr="00D731AA" w:rsidRDefault="00A17A28">
      <w:pPr>
        <w:pStyle w:val="BodyText2"/>
        <w:rPr>
          <w:rFonts w:ascii="Arial" w:hAnsi="Arial" w:cs="Arial"/>
          <w:b/>
          <w:sz w:val="22"/>
          <w:szCs w:val="22"/>
        </w:rPr>
      </w:pPr>
    </w:p>
    <w:p w14:paraId="463D79CB" w14:textId="77777777" w:rsidR="00A17A28" w:rsidRPr="00D731AA" w:rsidRDefault="00A17A28">
      <w:pPr>
        <w:pStyle w:val="BodyText2"/>
        <w:rPr>
          <w:rFonts w:ascii="Arial" w:hAnsi="Arial" w:cs="Arial"/>
          <w:b/>
          <w:sz w:val="22"/>
          <w:szCs w:val="22"/>
        </w:rPr>
      </w:pPr>
    </w:p>
    <w:p w14:paraId="3F762C0D" w14:textId="77777777" w:rsidR="00A17A28" w:rsidRPr="00D731AA" w:rsidRDefault="00A17A28">
      <w:pPr>
        <w:pStyle w:val="BodyText2"/>
        <w:rPr>
          <w:rFonts w:ascii="Arial" w:hAnsi="Arial" w:cs="Arial"/>
          <w:b/>
          <w:sz w:val="22"/>
          <w:szCs w:val="22"/>
        </w:rPr>
      </w:pPr>
    </w:p>
    <w:p w14:paraId="3384B741" w14:textId="77777777" w:rsidR="00E20B8D" w:rsidRDefault="00E20B8D" w:rsidP="00E20B8D">
      <w:pPr>
        <w:jc w:val="center"/>
        <w:rPr>
          <w:rFonts w:ascii="Arial" w:hAnsi="Arial" w:cs="Arial"/>
          <w:b/>
        </w:rPr>
      </w:pPr>
    </w:p>
    <w:p w14:paraId="05770BDD" w14:textId="77777777" w:rsidR="00E20B8D" w:rsidRDefault="00E20B8D" w:rsidP="00E20B8D">
      <w:pPr>
        <w:jc w:val="center"/>
        <w:rPr>
          <w:rFonts w:ascii="Arial" w:hAnsi="Arial" w:cs="Arial"/>
          <w:b/>
        </w:rPr>
      </w:pPr>
    </w:p>
    <w:p w14:paraId="430EC931" w14:textId="77777777" w:rsidR="00E20B8D" w:rsidRDefault="00E20B8D" w:rsidP="00E20B8D">
      <w:pPr>
        <w:jc w:val="center"/>
        <w:rPr>
          <w:rFonts w:ascii="Arial" w:hAnsi="Arial" w:cs="Arial"/>
          <w:b/>
        </w:rPr>
      </w:pPr>
    </w:p>
    <w:p w14:paraId="29494793" w14:textId="77777777" w:rsidR="00E20B8D" w:rsidRDefault="00E20B8D" w:rsidP="00E20B8D">
      <w:pPr>
        <w:jc w:val="center"/>
        <w:rPr>
          <w:rFonts w:ascii="Arial" w:hAnsi="Arial" w:cs="Arial"/>
          <w:b/>
        </w:rPr>
      </w:pPr>
    </w:p>
    <w:p w14:paraId="7B4BA605" w14:textId="77777777" w:rsidR="00E20B8D" w:rsidRDefault="00E20B8D" w:rsidP="00E20B8D">
      <w:pPr>
        <w:jc w:val="center"/>
        <w:rPr>
          <w:rFonts w:ascii="Arial" w:hAnsi="Arial" w:cs="Arial"/>
          <w:b/>
        </w:rPr>
      </w:pPr>
    </w:p>
    <w:p w14:paraId="202D02EE" w14:textId="77777777" w:rsidR="008278BD" w:rsidRDefault="008278BD" w:rsidP="00E20B8D">
      <w:pPr>
        <w:jc w:val="center"/>
        <w:rPr>
          <w:rFonts w:ascii="Arial" w:hAnsi="Arial" w:cs="Arial"/>
          <w:b/>
        </w:rPr>
      </w:pPr>
    </w:p>
    <w:p w14:paraId="79D63AB3" w14:textId="77777777" w:rsidR="008278BD" w:rsidRDefault="008278BD" w:rsidP="00E20B8D">
      <w:pPr>
        <w:jc w:val="center"/>
        <w:rPr>
          <w:rFonts w:ascii="Arial" w:hAnsi="Arial" w:cs="Arial"/>
          <w:b/>
        </w:rPr>
      </w:pPr>
    </w:p>
    <w:p w14:paraId="2A96E7DB" w14:textId="77777777" w:rsidR="008278BD" w:rsidRDefault="008278BD" w:rsidP="00E20B8D">
      <w:pPr>
        <w:jc w:val="center"/>
        <w:rPr>
          <w:rFonts w:ascii="Arial" w:hAnsi="Arial" w:cs="Arial"/>
          <w:b/>
        </w:rPr>
      </w:pPr>
    </w:p>
    <w:p w14:paraId="7A4975BA" w14:textId="77777777" w:rsidR="008278BD" w:rsidRDefault="008278BD" w:rsidP="00E20B8D">
      <w:pPr>
        <w:jc w:val="center"/>
        <w:rPr>
          <w:rFonts w:ascii="Arial" w:hAnsi="Arial" w:cs="Arial"/>
          <w:b/>
        </w:rPr>
      </w:pPr>
    </w:p>
    <w:p w14:paraId="6F36511C" w14:textId="77777777" w:rsidR="008278BD" w:rsidRDefault="008278BD" w:rsidP="00E20B8D">
      <w:pPr>
        <w:jc w:val="center"/>
        <w:rPr>
          <w:rFonts w:ascii="Arial" w:hAnsi="Arial" w:cs="Arial"/>
          <w:b/>
        </w:rPr>
      </w:pPr>
    </w:p>
    <w:p w14:paraId="11D298C9" w14:textId="77777777" w:rsidR="008278BD" w:rsidRDefault="008278BD" w:rsidP="00E20B8D">
      <w:pPr>
        <w:jc w:val="center"/>
        <w:rPr>
          <w:rFonts w:ascii="Arial" w:hAnsi="Arial" w:cs="Arial"/>
          <w:b/>
        </w:rPr>
      </w:pPr>
    </w:p>
    <w:p w14:paraId="573C0300" w14:textId="77777777" w:rsidR="008278BD" w:rsidRDefault="008278BD" w:rsidP="00E20B8D">
      <w:pPr>
        <w:jc w:val="center"/>
        <w:rPr>
          <w:rFonts w:ascii="Arial" w:hAnsi="Arial" w:cs="Arial"/>
          <w:b/>
        </w:rPr>
      </w:pPr>
    </w:p>
    <w:p w14:paraId="344C08BE" w14:textId="77777777" w:rsidR="008278BD" w:rsidRDefault="008278BD" w:rsidP="00E20B8D">
      <w:pPr>
        <w:jc w:val="center"/>
        <w:rPr>
          <w:rFonts w:ascii="Arial" w:hAnsi="Arial" w:cs="Arial"/>
          <w:b/>
        </w:rPr>
      </w:pPr>
    </w:p>
    <w:p w14:paraId="63F83085" w14:textId="77777777" w:rsidR="008278BD" w:rsidRDefault="008278BD" w:rsidP="00E20B8D">
      <w:pPr>
        <w:jc w:val="center"/>
        <w:rPr>
          <w:rFonts w:ascii="Arial" w:hAnsi="Arial" w:cs="Arial"/>
          <w:b/>
        </w:rPr>
      </w:pPr>
    </w:p>
    <w:p w14:paraId="436A53CE" w14:textId="77777777" w:rsidR="008278BD" w:rsidRDefault="008278BD" w:rsidP="00E20B8D">
      <w:pPr>
        <w:jc w:val="center"/>
        <w:rPr>
          <w:rFonts w:ascii="Arial" w:hAnsi="Arial" w:cs="Arial"/>
          <w:b/>
        </w:rPr>
      </w:pPr>
    </w:p>
    <w:p w14:paraId="611DD87B" w14:textId="77777777" w:rsidR="008278BD" w:rsidRDefault="008278BD" w:rsidP="00E20B8D">
      <w:pPr>
        <w:jc w:val="center"/>
        <w:rPr>
          <w:rFonts w:ascii="Arial" w:hAnsi="Arial" w:cs="Arial"/>
          <w:b/>
        </w:rPr>
      </w:pPr>
    </w:p>
    <w:p w14:paraId="5106CDEF" w14:textId="77777777" w:rsidR="008278BD" w:rsidRDefault="008278BD" w:rsidP="00E20B8D">
      <w:pPr>
        <w:jc w:val="center"/>
        <w:rPr>
          <w:rFonts w:ascii="Arial" w:hAnsi="Arial" w:cs="Arial"/>
          <w:b/>
        </w:rPr>
      </w:pPr>
    </w:p>
    <w:p w14:paraId="0D172F35" w14:textId="77777777" w:rsidR="008278BD" w:rsidRDefault="008278BD" w:rsidP="00E20B8D">
      <w:pPr>
        <w:jc w:val="center"/>
        <w:rPr>
          <w:rFonts w:ascii="Arial" w:hAnsi="Arial" w:cs="Arial"/>
          <w:b/>
        </w:rPr>
      </w:pPr>
    </w:p>
    <w:p w14:paraId="4D7AAE83" w14:textId="77777777" w:rsidR="008278BD" w:rsidRDefault="008278BD" w:rsidP="00E20B8D">
      <w:pPr>
        <w:jc w:val="center"/>
        <w:rPr>
          <w:rFonts w:ascii="Arial" w:hAnsi="Arial" w:cs="Arial"/>
          <w:b/>
        </w:rPr>
      </w:pPr>
    </w:p>
    <w:p w14:paraId="7685C282" w14:textId="77777777" w:rsidR="008278BD" w:rsidRDefault="008278BD" w:rsidP="00E20B8D">
      <w:pPr>
        <w:jc w:val="center"/>
        <w:rPr>
          <w:rFonts w:ascii="Arial" w:hAnsi="Arial" w:cs="Arial"/>
          <w:b/>
        </w:rPr>
      </w:pPr>
    </w:p>
    <w:p w14:paraId="0483FD27" w14:textId="77777777" w:rsidR="008278BD" w:rsidRDefault="008278BD" w:rsidP="00E20B8D">
      <w:pPr>
        <w:jc w:val="center"/>
        <w:rPr>
          <w:rFonts w:ascii="Arial" w:hAnsi="Arial" w:cs="Arial"/>
          <w:b/>
        </w:rPr>
      </w:pPr>
    </w:p>
    <w:p w14:paraId="56936176" w14:textId="77777777" w:rsidR="008278BD" w:rsidRDefault="008278BD" w:rsidP="00E20B8D">
      <w:pPr>
        <w:jc w:val="center"/>
        <w:rPr>
          <w:rFonts w:ascii="Arial" w:hAnsi="Arial" w:cs="Arial"/>
          <w:b/>
        </w:rPr>
      </w:pPr>
    </w:p>
    <w:p w14:paraId="6F0ED0B8" w14:textId="77777777" w:rsidR="008278BD" w:rsidRDefault="008278BD" w:rsidP="00E20B8D">
      <w:pPr>
        <w:jc w:val="center"/>
        <w:rPr>
          <w:rFonts w:ascii="Arial" w:hAnsi="Arial" w:cs="Arial"/>
          <w:b/>
        </w:rPr>
      </w:pPr>
    </w:p>
    <w:p w14:paraId="266A0F6B" w14:textId="77777777" w:rsidR="008278BD" w:rsidRDefault="008278BD" w:rsidP="00E20B8D">
      <w:pPr>
        <w:jc w:val="center"/>
        <w:rPr>
          <w:rFonts w:ascii="Arial" w:hAnsi="Arial" w:cs="Arial"/>
          <w:b/>
        </w:rPr>
      </w:pPr>
    </w:p>
    <w:p w14:paraId="4DDE36FD" w14:textId="77777777" w:rsidR="008278BD" w:rsidRDefault="008278BD" w:rsidP="00E20B8D">
      <w:pPr>
        <w:jc w:val="center"/>
        <w:rPr>
          <w:rFonts w:ascii="Arial" w:hAnsi="Arial" w:cs="Arial"/>
          <w:b/>
        </w:rPr>
      </w:pPr>
    </w:p>
    <w:p w14:paraId="60F06DD0" w14:textId="77777777" w:rsidR="008278BD" w:rsidRDefault="008278BD" w:rsidP="00E20B8D">
      <w:pPr>
        <w:jc w:val="center"/>
        <w:rPr>
          <w:rFonts w:ascii="Arial" w:hAnsi="Arial" w:cs="Arial"/>
          <w:b/>
        </w:rPr>
      </w:pPr>
    </w:p>
    <w:p w14:paraId="02B19F9B" w14:textId="77777777" w:rsidR="008278BD" w:rsidRDefault="008278BD" w:rsidP="00E20B8D">
      <w:pPr>
        <w:jc w:val="center"/>
        <w:rPr>
          <w:rFonts w:ascii="Arial" w:hAnsi="Arial" w:cs="Arial"/>
          <w:b/>
        </w:rPr>
      </w:pPr>
    </w:p>
    <w:p w14:paraId="7344A505" w14:textId="77777777" w:rsidR="008278BD" w:rsidRDefault="008278BD" w:rsidP="00E20B8D">
      <w:pPr>
        <w:jc w:val="center"/>
        <w:rPr>
          <w:rFonts w:ascii="Arial" w:hAnsi="Arial" w:cs="Arial"/>
          <w:b/>
        </w:rPr>
      </w:pPr>
    </w:p>
    <w:p w14:paraId="2B7B9500" w14:textId="77777777" w:rsidR="00E20B8D" w:rsidRDefault="00E20B8D" w:rsidP="00E20B8D">
      <w:pPr>
        <w:jc w:val="center"/>
        <w:rPr>
          <w:rFonts w:ascii="Arial" w:hAnsi="Arial" w:cs="Arial"/>
          <w:b/>
        </w:rPr>
      </w:pPr>
    </w:p>
    <w:p w14:paraId="3F0FE5DC" w14:textId="77777777" w:rsidR="00B90964" w:rsidRDefault="00B90964" w:rsidP="00E20B8D">
      <w:pPr>
        <w:jc w:val="center"/>
        <w:rPr>
          <w:rFonts w:ascii="Arial" w:hAnsi="Arial" w:cs="Arial"/>
          <w:b/>
        </w:rPr>
      </w:pPr>
    </w:p>
    <w:p w14:paraId="5FF1FFFD" w14:textId="77777777" w:rsidR="00B90964" w:rsidRDefault="00B90964" w:rsidP="00E20B8D">
      <w:pPr>
        <w:jc w:val="center"/>
        <w:rPr>
          <w:rFonts w:ascii="Arial" w:hAnsi="Arial" w:cs="Arial"/>
          <w:b/>
        </w:rPr>
      </w:pPr>
    </w:p>
    <w:p w14:paraId="61F6694C" w14:textId="77777777" w:rsidR="00B90964" w:rsidRDefault="00B90964" w:rsidP="00E20B8D">
      <w:pPr>
        <w:jc w:val="center"/>
        <w:rPr>
          <w:rFonts w:ascii="Arial" w:hAnsi="Arial" w:cs="Arial"/>
          <w:b/>
        </w:rPr>
      </w:pPr>
    </w:p>
    <w:p w14:paraId="45326106" w14:textId="77777777" w:rsidR="00B90964" w:rsidRDefault="00B90964" w:rsidP="00E20B8D">
      <w:pPr>
        <w:jc w:val="center"/>
        <w:rPr>
          <w:rFonts w:ascii="Arial" w:hAnsi="Arial" w:cs="Arial"/>
          <w:b/>
        </w:rPr>
      </w:pPr>
    </w:p>
    <w:p w14:paraId="38C109E8" w14:textId="77777777" w:rsidR="00B90964" w:rsidRDefault="00B90964" w:rsidP="00E20B8D">
      <w:pPr>
        <w:jc w:val="center"/>
        <w:rPr>
          <w:rFonts w:ascii="Arial" w:hAnsi="Arial" w:cs="Arial"/>
          <w:b/>
        </w:rPr>
      </w:pPr>
    </w:p>
    <w:p w14:paraId="60A5E43E" w14:textId="77777777" w:rsidR="00B90964" w:rsidRDefault="00B90964" w:rsidP="00E20B8D">
      <w:pPr>
        <w:jc w:val="center"/>
        <w:rPr>
          <w:rFonts w:ascii="Arial" w:hAnsi="Arial" w:cs="Arial"/>
          <w:b/>
        </w:rPr>
      </w:pPr>
    </w:p>
    <w:p w14:paraId="57320BFE" w14:textId="77777777" w:rsidR="00B90964" w:rsidRDefault="00B90964" w:rsidP="00E20B8D">
      <w:pPr>
        <w:jc w:val="center"/>
        <w:rPr>
          <w:rFonts w:ascii="Arial" w:hAnsi="Arial" w:cs="Arial"/>
          <w:b/>
        </w:rPr>
      </w:pPr>
    </w:p>
    <w:p w14:paraId="3602F793" w14:textId="77777777" w:rsidR="00B90964" w:rsidRDefault="00B90964" w:rsidP="00E20B8D">
      <w:pPr>
        <w:jc w:val="center"/>
        <w:rPr>
          <w:rFonts w:ascii="Arial" w:hAnsi="Arial" w:cs="Arial"/>
          <w:b/>
        </w:rPr>
      </w:pPr>
    </w:p>
    <w:p w14:paraId="2AE09640" w14:textId="77777777" w:rsidR="009E327E" w:rsidRDefault="009E327E" w:rsidP="00D14874">
      <w:pPr>
        <w:jc w:val="center"/>
        <w:rPr>
          <w:rFonts w:ascii="Arial" w:hAnsi="Arial" w:cs="Arial"/>
          <w:b/>
        </w:rPr>
      </w:pPr>
    </w:p>
    <w:p w14:paraId="04F0D28C" w14:textId="77777777" w:rsidR="00D14874" w:rsidRPr="00D14874" w:rsidRDefault="00D14874" w:rsidP="00D14874">
      <w:pPr>
        <w:jc w:val="center"/>
        <w:rPr>
          <w:rFonts w:ascii="Arial" w:hAnsi="Arial" w:cs="Arial"/>
          <w:b/>
        </w:rPr>
      </w:pPr>
      <w:r w:rsidRPr="00D14874">
        <w:rPr>
          <w:rFonts w:ascii="Arial" w:hAnsi="Arial" w:cs="Arial"/>
          <w:b/>
        </w:rPr>
        <w:t>Vendor Management Policy - Appendix B - Vendor Risk Assessment</w:t>
      </w:r>
    </w:p>
    <w:p w14:paraId="25C9E84D" w14:textId="77777777" w:rsidR="00D14874" w:rsidRPr="00D14874" w:rsidRDefault="00D14874" w:rsidP="00D14874">
      <w:pPr>
        <w:rPr>
          <w:rFonts w:ascii="Arial" w:hAnsi="Arial" w:cs="Arial"/>
          <w:sz w:val="16"/>
          <w:szCs w:val="16"/>
        </w:rPr>
      </w:pPr>
    </w:p>
    <w:p w14:paraId="4DE1A897" w14:textId="77777777" w:rsidR="00D14874" w:rsidRPr="00D14874" w:rsidRDefault="00D14874" w:rsidP="00D14874">
      <w:pPr>
        <w:ind w:right="-126"/>
        <w:rPr>
          <w:rFonts w:ascii="Arial" w:hAnsi="Arial" w:cs="Arial"/>
          <w:sz w:val="22"/>
          <w:szCs w:val="22"/>
        </w:rPr>
      </w:pPr>
      <w:r w:rsidRPr="00D14874">
        <w:rPr>
          <w:rFonts w:ascii="Arial" w:hAnsi="Arial" w:cs="Arial"/>
          <w:sz w:val="22"/>
          <w:szCs w:val="22"/>
        </w:rPr>
        <w:t>A risk assessment is completed for all new vendors, and updated annually for existing vendors, who maintain or will maintain a contractual relationship with the Bank to provide critical services.  The objectives of the annual assessment are to identify the risks present in the relationship between the vendor and the bank, and to document the measures taken to monitor the vendor’s level of service performance and financial stability.</w:t>
      </w:r>
    </w:p>
    <w:p w14:paraId="650D81CB" w14:textId="77777777" w:rsidR="00D14874" w:rsidRPr="00D14874" w:rsidRDefault="00D14874" w:rsidP="00D14874">
      <w:pPr>
        <w:rPr>
          <w:rFonts w:ascii="Arial" w:hAnsi="Arial" w:cs="Arial"/>
          <w:sz w:val="16"/>
          <w:szCs w:val="16"/>
        </w:rPr>
      </w:pPr>
    </w:p>
    <w:p w14:paraId="523939E3" w14:textId="77777777" w:rsidR="00D14874" w:rsidRPr="00D14874" w:rsidRDefault="00D14874" w:rsidP="00D14874">
      <w:pPr>
        <w:rPr>
          <w:rFonts w:ascii="Arial" w:hAnsi="Arial" w:cs="Arial"/>
          <w:b/>
          <w:sz w:val="22"/>
          <w:szCs w:val="22"/>
        </w:rPr>
      </w:pPr>
      <w:r w:rsidRPr="00D14874">
        <w:rPr>
          <w:rFonts w:ascii="Arial" w:hAnsi="Arial" w:cs="Arial"/>
          <w:b/>
          <w:sz w:val="22"/>
          <w:szCs w:val="22"/>
        </w:rPr>
        <w:t xml:space="preserve">VENDOR CONTACT INFORMATION  </w:t>
      </w:r>
    </w:p>
    <w:p w14:paraId="786E9DF1" w14:textId="77777777" w:rsidR="00D14874" w:rsidRPr="00D14874" w:rsidRDefault="00D14874" w:rsidP="00D14874">
      <w:pPr>
        <w:rPr>
          <w:rFonts w:ascii="Arial" w:hAnsi="Arial" w:cs="Arial"/>
          <w:sz w:val="16"/>
          <w:szCs w:val="16"/>
        </w:rPr>
      </w:pPr>
    </w:p>
    <w:p w14:paraId="46AE16A5" w14:textId="77777777" w:rsidR="00D14874" w:rsidRPr="00D14874" w:rsidRDefault="00D234F1" w:rsidP="009E327E">
      <w:pPr>
        <w:tabs>
          <w:tab w:val="left" w:pos="6480"/>
        </w:tabs>
        <w:rPr>
          <w:rFonts w:ascii="Arial" w:hAnsi="Arial" w:cs="Arial"/>
          <w:sz w:val="22"/>
          <w:szCs w:val="22"/>
        </w:rPr>
      </w:pPr>
      <w:r>
        <w:rPr>
          <w:rFonts w:ascii="Arial" w:hAnsi="Arial" w:cs="Arial"/>
          <w:sz w:val="22"/>
          <w:szCs w:val="22"/>
        </w:rPr>
        <w:t xml:space="preserve">Company Name:  </w:t>
      </w:r>
      <w:r>
        <w:rPr>
          <w:rFonts w:ascii="Arial" w:hAnsi="Arial" w:cs="Arial"/>
          <w:sz w:val="22"/>
          <w:szCs w:val="22"/>
        </w:rPr>
        <w:tab/>
      </w:r>
      <w:r w:rsidR="00D14874" w:rsidRPr="00D14874">
        <w:rPr>
          <w:rFonts w:ascii="Arial" w:hAnsi="Arial" w:cs="Arial"/>
          <w:sz w:val="22"/>
          <w:szCs w:val="22"/>
        </w:rPr>
        <w:t>Contact Name:</w:t>
      </w:r>
    </w:p>
    <w:p w14:paraId="1FA78798" w14:textId="77777777" w:rsidR="00D14874" w:rsidRPr="00D14874" w:rsidRDefault="00D14874" w:rsidP="00D14874">
      <w:pPr>
        <w:rPr>
          <w:rFonts w:ascii="Arial" w:hAnsi="Arial" w:cs="Arial"/>
          <w:sz w:val="22"/>
          <w:szCs w:val="22"/>
        </w:rPr>
      </w:pPr>
    </w:p>
    <w:p w14:paraId="790988EA" w14:textId="77777777" w:rsidR="00D14874" w:rsidRPr="00D14874" w:rsidRDefault="00D14874" w:rsidP="009E327E">
      <w:pPr>
        <w:tabs>
          <w:tab w:val="left" w:pos="6480"/>
        </w:tabs>
        <w:rPr>
          <w:rFonts w:ascii="Arial" w:hAnsi="Arial" w:cs="Arial"/>
          <w:sz w:val="22"/>
          <w:szCs w:val="22"/>
        </w:rPr>
      </w:pPr>
      <w:r w:rsidRPr="00D14874">
        <w:rPr>
          <w:rFonts w:ascii="Arial" w:hAnsi="Arial" w:cs="Arial"/>
          <w:sz w:val="22"/>
          <w:szCs w:val="22"/>
        </w:rPr>
        <w:t xml:space="preserve">Address: </w:t>
      </w:r>
      <w:r w:rsidRPr="00D14874">
        <w:rPr>
          <w:rFonts w:ascii="Arial" w:hAnsi="Arial" w:cs="Arial"/>
          <w:sz w:val="22"/>
          <w:szCs w:val="22"/>
        </w:rPr>
        <w:tab/>
        <w:t xml:space="preserve">Telephone: </w:t>
      </w:r>
    </w:p>
    <w:p w14:paraId="7DD669C5" w14:textId="77777777" w:rsidR="00D14874" w:rsidRPr="00D14874" w:rsidRDefault="00D14874" w:rsidP="00D14874">
      <w:pPr>
        <w:rPr>
          <w:rFonts w:ascii="Arial" w:hAnsi="Arial" w:cs="Arial"/>
          <w:sz w:val="22"/>
          <w:szCs w:val="22"/>
        </w:rPr>
      </w:pPr>
    </w:p>
    <w:p w14:paraId="25A4B902" w14:textId="77777777" w:rsidR="00D14874" w:rsidRPr="00D14874" w:rsidRDefault="00D14874" w:rsidP="009E327E">
      <w:pPr>
        <w:tabs>
          <w:tab w:val="left" w:pos="4320"/>
          <w:tab w:val="left" w:pos="6480"/>
        </w:tabs>
        <w:rPr>
          <w:rFonts w:ascii="Arial" w:hAnsi="Arial" w:cs="Arial"/>
          <w:sz w:val="22"/>
          <w:szCs w:val="22"/>
        </w:rPr>
      </w:pPr>
      <w:r w:rsidRPr="00D14874">
        <w:rPr>
          <w:rFonts w:ascii="Arial" w:hAnsi="Arial" w:cs="Arial"/>
          <w:sz w:val="22"/>
          <w:szCs w:val="22"/>
        </w:rPr>
        <w:t xml:space="preserve">                   </w:t>
      </w:r>
      <w:r w:rsidRPr="00D14874">
        <w:rPr>
          <w:rFonts w:ascii="Arial" w:hAnsi="Arial" w:cs="Arial"/>
          <w:sz w:val="22"/>
          <w:szCs w:val="22"/>
        </w:rPr>
        <w:tab/>
      </w:r>
      <w:r w:rsidR="00B90964">
        <w:rPr>
          <w:rFonts w:ascii="Arial" w:hAnsi="Arial" w:cs="Arial"/>
          <w:sz w:val="22"/>
          <w:szCs w:val="22"/>
        </w:rPr>
        <w:tab/>
      </w:r>
      <w:r w:rsidRPr="00D14874">
        <w:rPr>
          <w:rFonts w:ascii="Arial" w:hAnsi="Arial" w:cs="Arial"/>
          <w:sz w:val="22"/>
          <w:szCs w:val="22"/>
        </w:rPr>
        <w:t xml:space="preserve">E-mail:     </w:t>
      </w:r>
    </w:p>
    <w:p w14:paraId="3B5A40BE" w14:textId="77777777" w:rsidR="00D14874" w:rsidRPr="00D14874" w:rsidRDefault="00D14874" w:rsidP="00D14874">
      <w:pPr>
        <w:pBdr>
          <w:bottom w:val="single" w:sz="12" w:space="1" w:color="auto"/>
        </w:pBdr>
        <w:rPr>
          <w:rFonts w:ascii="Arial" w:hAnsi="Arial" w:cs="Arial"/>
          <w:sz w:val="22"/>
          <w:szCs w:val="22"/>
        </w:rPr>
      </w:pPr>
    </w:p>
    <w:p w14:paraId="107289A6" w14:textId="77777777" w:rsidR="00D14874" w:rsidRPr="00D14874" w:rsidRDefault="00D14874" w:rsidP="00D14874">
      <w:pPr>
        <w:pBdr>
          <w:bottom w:val="single" w:sz="12" w:space="1" w:color="auto"/>
        </w:pBdr>
        <w:rPr>
          <w:rFonts w:ascii="Arial" w:hAnsi="Arial" w:cs="Arial"/>
          <w:sz w:val="22"/>
          <w:szCs w:val="22"/>
        </w:rPr>
      </w:pPr>
    </w:p>
    <w:p w14:paraId="151769DE" w14:textId="77777777" w:rsidR="00D14874" w:rsidRPr="00D14874" w:rsidRDefault="00D14874" w:rsidP="00D14874">
      <w:pPr>
        <w:rPr>
          <w:rFonts w:ascii="Arial" w:hAnsi="Arial" w:cs="Arial"/>
          <w:b/>
          <w:sz w:val="22"/>
          <w:szCs w:val="22"/>
        </w:rPr>
      </w:pPr>
    </w:p>
    <w:p w14:paraId="3E4524D8" w14:textId="77777777" w:rsidR="00D14874" w:rsidRPr="00D14874" w:rsidRDefault="00D14874" w:rsidP="00D14874">
      <w:pPr>
        <w:rPr>
          <w:rFonts w:ascii="Arial" w:hAnsi="Arial" w:cs="Arial"/>
          <w:b/>
          <w:sz w:val="22"/>
          <w:szCs w:val="22"/>
        </w:rPr>
      </w:pPr>
      <w:r w:rsidRPr="00D14874">
        <w:rPr>
          <w:rFonts w:ascii="Arial" w:hAnsi="Arial" w:cs="Arial"/>
          <w:b/>
          <w:sz w:val="22"/>
          <w:szCs w:val="22"/>
        </w:rPr>
        <w:t xml:space="preserve">BANK MANAGER RESPONSIBLE FOR THE VENDOR RELATIONSHIP </w:t>
      </w:r>
    </w:p>
    <w:p w14:paraId="7DA338F9" w14:textId="77777777" w:rsidR="00D14874" w:rsidRPr="00D14874" w:rsidRDefault="00D14874" w:rsidP="00D14874">
      <w:pPr>
        <w:rPr>
          <w:rFonts w:ascii="Arial" w:hAnsi="Arial" w:cs="Arial"/>
          <w:b/>
          <w:sz w:val="16"/>
          <w:szCs w:val="16"/>
        </w:rPr>
      </w:pPr>
    </w:p>
    <w:p w14:paraId="79CDA5BC" w14:textId="77777777" w:rsidR="00D14874" w:rsidRPr="00D14874" w:rsidRDefault="00D14874" w:rsidP="00D14874">
      <w:pPr>
        <w:tabs>
          <w:tab w:val="left" w:pos="5760"/>
          <w:tab w:val="left" w:pos="6480"/>
        </w:tabs>
        <w:rPr>
          <w:rFonts w:ascii="Arial" w:hAnsi="Arial" w:cs="Arial"/>
          <w:sz w:val="22"/>
          <w:szCs w:val="22"/>
        </w:rPr>
      </w:pPr>
      <w:r w:rsidRPr="00D14874">
        <w:rPr>
          <w:rFonts w:ascii="Arial" w:hAnsi="Arial" w:cs="Arial"/>
          <w:sz w:val="22"/>
          <w:szCs w:val="22"/>
        </w:rPr>
        <w:t>Name:</w:t>
      </w:r>
      <w:r w:rsidRPr="00D14874">
        <w:rPr>
          <w:rFonts w:ascii="Arial" w:hAnsi="Arial" w:cs="Arial"/>
          <w:sz w:val="22"/>
          <w:szCs w:val="22"/>
        </w:rPr>
        <w:tab/>
      </w:r>
      <w:r w:rsidRPr="00D14874">
        <w:rPr>
          <w:rFonts w:ascii="Arial" w:hAnsi="Arial" w:cs="Arial"/>
          <w:sz w:val="22"/>
          <w:szCs w:val="22"/>
        </w:rPr>
        <w:tab/>
        <w:t>Position:</w:t>
      </w:r>
    </w:p>
    <w:p w14:paraId="615C121C" w14:textId="77777777" w:rsidR="00D14874" w:rsidRPr="00D14874" w:rsidRDefault="00D14874" w:rsidP="00D14874">
      <w:pPr>
        <w:tabs>
          <w:tab w:val="left" w:pos="5760"/>
        </w:tabs>
        <w:rPr>
          <w:rFonts w:ascii="Arial" w:hAnsi="Arial" w:cs="Arial"/>
          <w:sz w:val="22"/>
          <w:szCs w:val="22"/>
        </w:rPr>
      </w:pPr>
      <w:r w:rsidRPr="00D14874">
        <w:rPr>
          <w:rFonts w:ascii="Arial" w:hAnsi="Arial" w:cs="Arial"/>
          <w:sz w:val="22"/>
          <w:szCs w:val="22"/>
        </w:rPr>
        <w:t xml:space="preserve">   </w:t>
      </w:r>
    </w:p>
    <w:p w14:paraId="242F9CE8" w14:textId="77777777" w:rsidR="00D14874" w:rsidRPr="00D14874" w:rsidRDefault="00D14874" w:rsidP="00D14874">
      <w:pPr>
        <w:tabs>
          <w:tab w:val="left" w:pos="6480"/>
          <w:tab w:val="left" w:pos="7200"/>
        </w:tabs>
        <w:rPr>
          <w:rFonts w:ascii="Arial" w:hAnsi="Arial" w:cs="Arial"/>
          <w:sz w:val="22"/>
          <w:szCs w:val="22"/>
        </w:rPr>
      </w:pPr>
      <w:r w:rsidRPr="00D14874">
        <w:rPr>
          <w:rFonts w:ascii="Arial" w:hAnsi="Arial" w:cs="Arial"/>
          <w:sz w:val="22"/>
          <w:szCs w:val="22"/>
        </w:rPr>
        <w:t xml:space="preserve">Assessment Prepared By: </w:t>
      </w:r>
      <w:r w:rsidRPr="00D14874">
        <w:rPr>
          <w:rFonts w:ascii="Arial" w:hAnsi="Arial" w:cs="Arial"/>
          <w:sz w:val="22"/>
          <w:szCs w:val="22"/>
        </w:rPr>
        <w:tab/>
        <w:t xml:space="preserve">Date: </w:t>
      </w:r>
    </w:p>
    <w:p w14:paraId="51A336DD" w14:textId="77777777" w:rsidR="00D14874" w:rsidRPr="00D14874" w:rsidRDefault="00D14874" w:rsidP="00D14874">
      <w:pPr>
        <w:pBdr>
          <w:bottom w:val="single" w:sz="12" w:space="1" w:color="auto"/>
        </w:pBdr>
        <w:rPr>
          <w:rFonts w:ascii="Arial" w:hAnsi="Arial" w:cs="Arial"/>
        </w:rPr>
      </w:pPr>
      <w:r w:rsidRPr="00D14874">
        <w:rPr>
          <w:rFonts w:ascii="Arial" w:hAnsi="Arial" w:cs="Arial"/>
          <w:sz w:val="22"/>
          <w:szCs w:val="22"/>
        </w:rPr>
        <w:t xml:space="preserve"> </w:t>
      </w:r>
    </w:p>
    <w:p w14:paraId="7D7C9A2B" w14:textId="77777777" w:rsidR="00D14874" w:rsidRPr="00D14874" w:rsidRDefault="00D14874" w:rsidP="00D14874">
      <w:pPr>
        <w:rPr>
          <w:rFonts w:ascii="Arial" w:hAnsi="Arial" w:cs="Arial"/>
          <w:b/>
        </w:rPr>
      </w:pPr>
    </w:p>
    <w:p w14:paraId="30335451" w14:textId="77777777" w:rsidR="00D14874" w:rsidRPr="00D14874" w:rsidRDefault="00D14874" w:rsidP="00D14874">
      <w:pPr>
        <w:rPr>
          <w:rFonts w:ascii="Arial" w:hAnsi="Arial" w:cs="Arial"/>
          <w:b/>
          <w:sz w:val="22"/>
          <w:szCs w:val="22"/>
        </w:rPr>
      </w:pPr>
      <w:r w:rsidRPr="00D14874">
        <w:rPr>
          <w:rFonts w:ascii="Arial" w:hAnsi="Arial" w:cs="Arial"/>
          <w:b/>
          <w:sz w:val="22"/>
          <w:szCs w:val="22"/>
        </w:rPr>
        <w:t>CHECK ALL OF THE FOLLOWING THAT APPLY TO THIS VENDOR’S RISK ASSESSMENT:</w:t>
      </w:r>
    </w:p>
    <w:p w14:paraId="3C366218" w14:textId="77777777" w:rsidR="00D14874" w:rsidRPr="00D14874" w:rsidRDefault="00D14874" w:rsidP="00D14874">
      <w:pPr>
        <w:rPr>
          <w:rFonts w:ascii="Arial" w:hAnsi="Arial" w:cs="Arial"/>
          <w:b/>
          <w:sz w:val="22"/>
          <w:szCs w:val="22"/>
        </w:rPr>
      </w:pPr>
    </w:p>
    <w:p w14:paraId="0D5E152E" w14:textId="77777777" w:rsidR="00D14874" w:rsidRPr="00D14874" w:rsidRDefault="00D14874" w:rsidP="00D14874">
      <w:pPr>
        <w:tabs>
          <w:tab w:val="left" w:pos="720"/>
        </w:tabs>
        <w:rPr>
          <w:rFonts w:ascii="Arial" w:hAnsi="Arial" w:cs="Arial"/>
          <w:sz w:val="22"/>
          <w:szCs w:val="22"/>
        </w:rPr>
      </w:pPr>
      <w:r w:rsidRPr="00D14874">
        <w:rPr>
          <w:rFonts w:ascii="Arial" w:hAnsi="Arial" w:cs="Arial"/>
          <w:sz w:val="22"/>
          <w:szCs w:val="22"/>
        </w:rPr>
        <w:t xml:space="preserve">_____ </w:t>
      </w:r>
      <w:r w:rsidRPr="00D14874">
        <w:rPr>
          <w:rFonts w:ascii="Arial" w:hAnsi="Arial" w:cs="Arial"/>
          <w:b/>
          <w:sz w:val="22"/>
          <w:szCs w:val="22"/>
        </w:rPr>
        <w:t>NEW VENDOR REVIEW</w:t>
      </w:r>
      <w:r w:rsidRPr="00D14874">
        <w:rPr>
          <w:rFonts w:ascii="Arial" w:hAnsi="Arial" w:cs="Arial"/>
          <w:sz w:val="22"/>
          <w:szCs w:val="22"/>
        </w:rPr>
        <w:t xml:space="preserve"> </w:t>
      </w:r>
    </w:p>
    <w:p w14:paraId="6D5F2CBF" w14:textId="77777777" w:rsidR="00D14874" w:rsidRPr="00D14874" w:rsidRDefault="00D14874" w:rsidP="00D14874">
      <w:pPr>
        <w:tabs>
          <w:tab w:val="left" w:pos="720"/>
          <w:tab w:val="left" w:pos="900"/>
        </w:tabs>
        <w:rPr>
          <w:rFonts w:ascii="Arial" w:hAnsi="Arial" w:cs="Arial"/>
          <w:sz w:val="22"/>
          <w:szCs w:val="22"/>
        </w:rPr>
      </w:pPr>
      <w:r w:rsidRPr="00D14874">
        <w:rPr>
          <w:rFonts w:ascii="Arial" w:hAnsi="Arial" w:cs="Arial"/>
          <w:sz w:val="22"/>
          <w:szCs w:val="22"/>
        </w:rPr>
        <w:tab/>
        <w:t xml:space="preserve">   If yes, list other vendors considered ____________________________________________________</w:t>
      </w:r>
    </w:p>
    <w:p w14:paraId="77448D93" w14:textId="77777777" w:rsidR="00D14874" w:rsidRPr="00D14874" w:rsidRDefault="00D14874" w:rsidP="00D14874">
      <w:pPr>
        <w:rPr>
          <w:rFonts w:ascii="Arial" w:hAnsi="Arial" w:cs="Arial"/>
          <w:sz w:val="22"/>
          <w:szCs w:val="22"/>
        </w:rPr>
      </w:pPr>
    </w:p>
    <w:p w14:paraId="1BF839B7" w14:textId="77777777" w:rsidR="00D14874" w:rsidRPr="00D14874" w:rsidRDefault="00D14874" w:rsidP="00D14874">
      <w:pPr>
        <w:rPr>
          <w:rFonts w:ascii="Arial" w:hAnsi="Arial" w:cs="Arial"/>
          <w:sz w:val="22"/>
          <w:szCs w:val="22"/>
        </w:rPr>
      </w:pPr>
      <w:r w:rsidRPr="00D14874">
        <w:rPr>
          <w:rFonts w:ascii="Arial" w:hAnsi="Arial" w:cs="Arial"/>
          <w:sz w:val="22"/>
          <w:szCs w:val="22"/>
        </w:rPr>
        <w:t xml:space="preserve">_____ </w:t>
      </w:r>
      <w:r w:rsidRPr="00D14874">
        <w:rPr>
          <w:rFonts w:ascii="Arial" w:hAnsi="Arial" w:cs="Arial"/>
          <w:b/>
          <w:sz w:val="22"/>
          <w:szCs w:val="22"/>
        </w:rPr>
        <w:t>EXISTING VENDOR REVIEW</w:t>
      </w:r>
      <w:r w:rsidRPr="00D14874">
        <w:rPr>
          <w:rFonts w:ascii="Arial" w:hAnsi="Arial" w:cs="Arial"/>
          <w:sz w:val="22"/>
          <w:szCs w:val="22"/>
        </w:rPr>
        <w:t xml:space="preserve"> </w:t>
      </w:r>
    </w:p>
    <w:p w14:paraId="1CCAD7F5" w14:textId="77777777" w:rsidR="00D14874" w:rsidRPr="00D14874" w:rsidRDefault="00D14874" w:rsidP="00D14874">
      <w:pPr>
        <w:tabs>
          <w:tab w:val="left" w:pos="900"/>
        </w:tabs>
        <w:rPr>
          <w:rFonts w:ascii="Arial" w:hAnsi="Arial" w:cs="Arial"/>
          <w:sz w:val="22"/>
          <w:szCs w:val="22"/>
        </w:rPr>
      </w:pPr>
      <w:r w:rsidRPr="00D14874">
        <w:rPr>
          <w:rFonts w:ascii="Arial" w:hAnsi="Arial" w:cs="Arial"/>
          <w:sz w:val="22"/>
          <w:szCs w:val="22"/>
        </w:rPr>
        <w:tab/>
        <w:t>If yes, how long has the bank conducted business with this vendor? ___________________________</w:t>
      </w:r>
    </w:p>
    <w:p w14:paraId="2CCB8781" w14:textId="77777777" w:rsidR="00D14874" w:rsidRPr="00D14874" w:rsidRDefault="00D14874" w:rsidP="00D14874">
      <w:pPr>
        <w:rPr>
          <w:rFonts w:ascii="Arial" w:hAnsi="Arial" w:cs="Arial"/>
          <w:sz w:val="22"/>
          <w:szCs w:val="22"/>
        </w:rPr>
      </w:pPr>
    </w:p>
    <w:p w14:paraId="171A2DDE" w14:textId="77777777" w:rsidR="00D14874" w:rsidRPr="00D14874" w:rsidRDefault="00D14874" w:rsidP="00D14874">
      <w:pPr>
        <w:rPr>
          <w:rFonts w:ascii="Arial" w:hAnsi="Arial" w:cs="Arial"/>
          <w:sz w:val="22"/>
          <w:szCs w:val="22"/>
        </w:rPr>
      </w:pPr>
      <w:r w:rsidRPr="00D14874">
        <w:rPr>
          <w:rFonts w:ascii="Arial" w:hAnsi="Arial" w:cs="Arial"/>
          <w:sz w:val="22"/>
          <w:szCs w:val="22"/>
        </w:rPr>
        <w:t>_____ Vendor is an affiliate of the bank</w:t>
      </w:r>
    </w:p>
    <w:p w14:paraId="625E547F" w14:textId="77777777" w:rsidR="00D14874" w:rsidRPr="00D14874" w:rsidRDefault="00D14874" w:rsidP="00D14874">
      <w:pPr>
        <w:tabs>
          <w:tab w:val="left" w:pos="900"/>
        </w:tabs>
        <w:rPr>
          <w:rFonts w:ascii="Arial" w:hAnsi="Arial" w:cs="Arial"/>
          <w:sz w:val="22"/>
          <w:szCs w:val="22"/>
        </w:rPr>
      </w:pPr>
      <w:r w:rsidRPr="00D14874">
        <w:rPr>
          <w:rFonts w:ascii="Arial" w:hAnsi="Arial" w:cs="Arial"/>
          <w:sz w:val="22"/>
          <w:szCs w:val="22"/>
        </w:rPr>
        <w:tab/>
        <w:t>Describe the affiliation _______________________________________________________________</w:t>
      </w:r>
    </w:p>
    <w:p w14:paraId="57DC647A" w14:textId="77777777" w:rsidR="00D14874" w:rsidRPr="00D14874" w:rsidRDefault="00D14874" w:rsidP="00D14874">
      <w:pPr>
        <w:rPr>
          <w:rFonts w:ascii="Arial" w:hAnsi="Arial" w:cs="Arial"/>
          <w:sz w:val="22"/>
          <w:szCs w:val="22"/>
        </w:rPr>
      </w:pPr>
      <w:r w:rsidRPr="00D14874">
        <w:rPr>
          <w:rFonts w:ascii="Arial" w:hAnsi="Arial" w:cs="Arial"/>
          <w:sz w:val="22"/>
          <w:szCs w:val="22"/>
        </w:rPr>
        <w:tab/>
      </w:r>
    </w:p>
    <w:p w14:paraId="3D077C14" w14:textId="77777777" w:rsidR="00D14874" w:rsidRPr="00D14874" w:rsidRDefault="00D14874" w:rsidP="00D14874">
      <w:pPr>
        <w:rPr>
          <w:rFonts w:ascii="Arial" w:hAnsi="Arial" w:cs="Arial"/>
          <w:sz w:val="22"/>
          <w:szCs w:val="22"/>
        </w:rPr>
      </w:pPr>
    </w:p>
    <w:p w14:paraId="632FEA59" w14:textId="77777777" w:rsidR="00D14874" w:rsidRPr="00D14874" w:rsidRDefault="00D14874" w:rsidP="00D14874">
      <w:pPr>
        <w:rPr>
          <w:rFonts w:ascii="Arial" w:hAnsi="Arial" w:cs="Arial"/>
          <w:b/>
          <w:sz w:val="22"/>
          <w:szCs w:val="22"/>
          <w:u w:val="single"/>
        </w:rPr>
      </w:pPr>
      <w:r w:rsidRPr="00D14874">
        <w:rPr>
          <w:rFonts w:ascii="Arial" w:hAnsi="Arial" w:cs="Arial"/>
          <w:sz w:val="22"/>
          <w:szCs w:val="22"/>
        </w:rPr>
        <w:tab/>
      </w:r>
      <w:r w:rsidRPr="00D14874">
        <w:rPr>
          <w:rFonts w:ascii="Arial" w:hAnsi="Arial" w:cs="Arial"/>
          <w:b/>
          <w:sz w:val="22"/>
          <w:szCs w:val="22"/>
          <w:u w:val="single"/>
        </w:rPr>
        <w:t>Vendor’s Operational Controls</w:t>
      </w:r>
      <w:r w:rsidRPr="00D14874">
        <w:rPr>
          <w:rFonts w:ascii="Arial" w:hAnsi="Arial" w:cs="Arial"/>
          <w:b/>
          <w:sz w:val="22"/>
          <w:szCs w:val="22"/>
        </w:rPr>
        <w:t>*</w:t>
      </w:r>
      <w:r w:rsidRPr="00D14874">
        <w:rPr>
          <w:rFonts w:ascii="Arial" w:hAnsi="Arial" w:cs="Arial"/>
          <w:b/>
          <w:sz w:val="22"/>
          <w:szCs w:val="22"/>
          <w:u w:val="single"/>
        </w:rPr>
        <w:t xml:space="preserve"> </w:t>
      </w:r>
    </w:p>
    <w:p w14:paraId="403E456E" w14:textId="77777777" w:rsidR="00D14874" w:rsidRPr="00D14874" w:rsidRDefault="00D14874" w:rsidP="00D14874">
      <w:pPr>
        <w:ind w:left="990" w:hanging="990"/>
        <w:rPr>
          <w:rFonts w:ascii="Arial" w:hAnsi="Arial" w:cs="Arial"/>
          <w:b/>
          <w:sz w:val="22"/>
          <w:szCs w:val="22"/>
        </w:rPr>
      </w:pPr>
    </w:p>
    <w:p w14:paraId="2FFA526C" w14:textId="77777777" w:rsidR="00D14874" w:rsidRPr="00D14874" w:rsidRDefault="00D14874" w:rsidP="00D14874">
      <w:pPr>
        <w:ind w:left="990" w:hanging="990"/>
        <w:rPr>
          <w:rFonts w:ascii="Arial" w:hAnsi="Arial" w:cs="Arial"/>
          <w:sz w:val="22"/>
          <w:szCs w:val="22"/>
        </w:rPr>
      </w:pPr>
      <w:r w:rsidRPr="00D14874">
        <w:rPr>
          <w:rFonts w:ascii="Arial" w:hAnsi="Arial" w:cs="Arial"/>
          <w:b/>
          <w:sz w:val="22"/>
          <w:szCs w:val="22"/>
        </w:rPr>
        <w:t xml:space="preserve">_____ </w:t>
      </w:r>
      <w:r w:rsidRPr="00D14874">
        <w:rPr>
          <w:rFonts w:ascii="Arial" w:hAnsi="Arial" w:cs="Arial"/>
          <w:sz w:val="22"/>
          <w:szCs w:val="22"/>
        </w:rPr>
        <w:t>Audit</w:t>
      </w:r>
      <w:r w:rsidRPr="00D14874">
        <w:rPr>
          <w:rFonts w:ascii="Arial" w:hAnsi="Arial" w:cs="Arial"/>
          <w:b/>
          <w:sz w:val="22"/>
          <w:szCs w:val="22"/>
        </w:rPr>
        <w:t xml:space="preserve"> </w:t>
      </w:r>
      <w:r w:rsidRPr="00D14874">
        <w:rPr>
          <w:rFonts w:ascii="Arial" w:hAnsi="Arial" w:cs="Arial"/>
          <w:sz w:val="22"/>
          <w:szCs w:val="22"/>
        </w:rPr>
        <w:t xml:space="preserve">Reports describing the Vendor’s operational controls and testing were obtained and analyzed.  </w:t>
      </w:r>
    </w:p>
    <w:p w14:paraId="3138BB53" w14:textId="77777777" w:rsidR="00D14874" w:rsidRPr="00D14874" w:rsidRDefault="00D14874" w:rsidP="00D14874">
      <w:pPr>
        <w:tabs>
          <w:tab w:val="left" w:pos="900"/>
        </w:tabs>
        <w:ind w:left="990" w:hanging="270"/>
        <w:rPr>
          <w:rFonts w:ascii="Arial" w:hAnsi="Arial" w:cs="Arial"/>
          <w:sz w:val="22"/>
          <w:szCs w:val="22"/>
        </w:rPr>
      </w:pPr>
      <w:r w:rsidRPr="00D14874">
        <w:rPr>
          <w:rFonts w:ascii="Arial" w:hAnsi="Arial" w:cs="Arial"/>
          <w:sz w:val="22"/>
          <w:szCs w:val="22"/>
        </w:rPr>
        <w:t xml:space="preserve">  Which reports were provided:       ____ SSAE18    ____ SOC 1     ____ SOC 2     ____ </w:t>
      </w:r>
      <w:proofErr w:type="gramStart"/>
      <w:r w:rsidRPr="00D14874">
        <w:rPr>
          <w:rFonts w:ascii="Arial" w:hAnsi="Arial" w:cs="Arial"/>
          <w:sz w:val="22"/>
          <w:szCs w:val="22"/>
        </w:rPr>
        <w:t>Other</w:t>
      </w:r>
      <w:proofErr w:type="gramEnd"/>
      <w:r w:rsidRPr="00D14874">
        <w:rPr>
          <w:rFonts w:ascii="Arial" w:hAnsi="Arial" w:cs="Arial"/>
          <w:sz w:val="22"/>
          <w:szCs w:val="22"/>
        </w:rPr>
        <w:t xml:space="preserve">                                   </w:t>
      </w:r>
    </w:p>
    <w:p w14:paraId="68771A91" w14:textId="77777777" w:rsidR="00D14874" w:rsidRPr="00D14874" w:rsidRDefault="00D14874" w:rsidP="00D14874">
      <w:pPr>
        <w:ind w:left="990" w:hanging="990"/>
        <w:rPr>
          <w:rFonts w:ascii="Arial" w:hAnsi="Arial" w:cs="Arial"/>
          <w:sz w:val="16"/>
          <w:szCs w:val="16"/>
        </w:rPr>
      </w:pPr>
    </w:p>
    <w:p w14:paraId="3C432E74" w14:textId="77777777" w:rsidR="00D14874" w:rsidRPr="00D14874" w:rsidRDefault="00D14874" w:rsidP="00D14874">
      <w:pPr>
        <w:rPr>
          <w:rFonts w:ascii="Arial" w:hAnsi="Arial" w:cs="Arial"/>
          <w:sz w:val="32"/>
          <w:szCs w:val="32"/>
        </w:rPr>
      </w:pPr>
      <w:r w:rsidRPr="00D14874">
        <w:rPr>
          <w:rFonts w:ascii="Arial" w:hAnsi="Arial" w:cs="Arial"/>
          <w:sz w:val="22"/>
          <w:szCs w:val="22"/>
        </w:rPr>
        <w:t xml:space="preserve">              If </w:t>
      </w:r>
      <w:r w:rsidRPr="00D14874">
        <w:rPr>
          <w:rFonts w:ascii="Arial" w:hAnsi="Arial" w:cs="Arial"/>
          <w:i/>
          <w:sz w:val="22"/>
          <w:szCs w:val="22"/>
        </w:rPr>
        <w:t>Other</w:t>
      </w:r>
      <w:r w:rsidRPr="00D14874">
        <w:rPr>
          <w:rFonts w:ascii="Arial" w:hAnsi="Arial" w:cs="Arial"/>
          <w:sz w:val="22"/>
          <w:szCs w:val="22"/>
        </w:rPr>
        <w:t xml:space="preserve"> was checked, please explain:  </w:t>
      </w:r>
      <w:r w:rsidRPr="00D14874">
        <w:rPr>
          <w:rFonts w:ascii="Arial" w:hAnsi="Arial" w:cs="Arial"/>
          <w:sz w:val="32"/>
          <w:szCs w:val="32"/>
        </w:rPr>
        <w:t>________________________________</w:t>
      </w:r>
    </w:p>
    <w:p w14:paraId="7859E2B1" w14:textId="77777777" w:rsidR="00D14874" w:rsidRPr="00D14874" w:rsidRDefault="00D14874" w:rsidP="00D14874">
      <w:pPr>
        <w:rPr>
          <w:rFonts w:ascii="Arial" w:hAnsi="Arial" w:cs="Arial"/>
          <w:sz w:val="22"/>
          <w:szCs w:val="22"/>
        </w:rPr>
      </w:pPr>
      <w:r w:rsidRPr="00D14874">
        <w:rPr>
          <w:rFonts w:ascii="Arial" w:hAnsi="Arial" w:cs="Arial"/>
          <w:sz w:val="22"/>
          <w:szCs w:val="22"/>
        </w:rPr>
        <w:t xml:space="preserve">   </w:t>
      </w:r>
      <w:r w:rsidRPr="00D14874">
        <w:rPr>
          <w:rFonts w:ascii="Arial" w:hAnsi="Arial" w:cs="Arial"/>
          <w:sz w:val="22"/>
          <w:szCs w:val="22"/>
        </w:rPr>
        <w:tab/>
        <w:t xml:space="preserve">  </w:t>
      </w:r>
    </w:p>
    <w:p w14:paraId="2B5A963D" w14:textId="77777777" w:rsidR="00D14874" w:rsidRPr="00D14874" w:rsidRDefault="00D14874" w:rsidP="00D14874">
      <w:pPr>
        <w:tabs>
          <w:tab w:val="left" w:pos="720"/>
          <w:tab w:val="left" w:pos="900"/>
        </w:tabs>
        <w:ind w:left="900" w:right="54" w:hanging="900"/>
        <w:rPr>
          <w:rFonts w:ascii="Arial" w:hAnsi="Arial" w:cs="Arial"/>
          <w:b/>
          <w:sz w:val="22"/>
          <w:szCs w:val="22"/>
        </w:rPr>
      </w:pPr>
      <w:r w:rsidRPr="00D14874">
        <w:rPr>
          <w:rFonts w:ascii="Arial" w:hAnsi="Arial" w:cs="Arial"/>
          <w:sz w:val="22"/>
          <w:szCs w:val="22"/>
        </w:rPr>
        <w:t xml:space="preserve">_____ The </w:t>
      </w:r>
      <w:r w:rsidRPr="00D14874">
        <w:rPr>
          <w:rFonts w:ascii="Arial" w:eastAsia="Calibri" w:hAnsi="Arial" w:cs="Arial"/>
          <w:sz w:val="22"/>
          <w:szCs w:val="22"/>
        </w:rPr>
        <w:t xml:space="preserve">User Control Considerations listed in the vendor’s description of controls have been addressed and a written response to each consideration has been included as part of this risk assessment. </w:t>
      </w:r>
    </w:p>
    <w:p w14:paraId="4D427867" w14:textId="77777777" w:rsidR="00D14874" w:rsidRPr="00D14874" w:rsidRDefault="00D14874" w:rsidP="00D14874">
      <w:pPr>
        <w:rPr>
          <w:rFonts w:ascii="Arial" w:hAnsi="Arial" w:cs="Arial"/>
          <w:sz w:val="22"/>
          <w:szCs w:val="22"/>
        </w:rPr>
      </w:pPr>
    </w:p>
    <w:p w14:paraId="0A11E3E2" w14:textId="77777777" w:rsidR="00D14874" w:rsidRPr="00D14874" w:rsidRDefault="00D14874" w:rsidP="00D14874">
      <w:pPr>
        <w:rPr>
          <w:rFonts w:ascii="Arial" w:eastAsia="Calibri" w:hAnsi="Arial" w:cs="Arial"/>
          <w:sz w:val="22"/>
          <w:szCs w:val="22"/>
        </w:rPr>
      </w:pPr>
    </w:p>
    <w:p w14:paraId="6B600E1F" w14:textId="77777777" w:rsidR="00D14874" w:rsidRPr="00D14874" w:rsidRDefault="00D14874" w:rsidP="00D14874">
      <w:pPr>
        <w:rPr>
          <w:rFonts w:ascii="Arial" w:hAnsi="Arial" w:cs="Arial"/>
          <w:b/>
          <w:sz w:val="22"/>
          <w:szCs w:val="22"/>
        </w:rPr>
      </w:pPr>
      <w:r w:rsidRPr="00D14874">
        <w:rPr>
          <w:rFonts w:ascii="Arial" w:hAnsi="Arial" w:cs="Arial"/>
          <w:b/>
          <w:sz w:val="22"/>
          <w:szCs w:val="22"/>
        </w:rPr>
        <w:tab/>
      </w:r>
      <w:r w:rsidRPr="00D14874">
        <w:rPr>
          <w:rFonts w:ascii="Arial" w:hAnsi="Arial" w:cs="Arial"/>
          <w:b/>
          <w:sz w:val="22"/>
          <w:szCs w:val="22"/>
          <w:u w:val="single"/>
        </w:rPr>
        <w:t>Vendor’s Financial Information</w:t>
      </w:r>
      <w:r w:rsidRPr="00D14874">
        <w:rPr>
          <w:rFonts w:ascii="Arial" w:hAnsi="Arial" w:cs="Arial"/>
          <w:b/>
          <w:sz w:val="22"/>
          <w:szCs w:val="22"/>
        </w:rPr>
        <w:t>*</w:t>
      </w:r>
    </w:p>
    <w:p w14:paraId="5F0A9DDE" w14:textId="77777777" w:rsidR="00D14874" w:rsidRPr="00D14874" w:rsidRDefault="00D14874" w:rsidP="00D14874">
      <w:pPr>
        <w:rPr>
          <w:rFonts w:ascii="Arial" w:hAnsi="Arial" w:cs="Arial"/>
          <w:b/>
          <w:sz w:val="22"/>
          <w:szCs w:val="22"/>
          <w:u w:val="single"/>
        </w:rPr>
      </w:pPr>
    </w:p>
    <w:p w14:paraId="355728FD" w14:textId="77777777" w:rsidR="00D14874" w:rsidRPr="00D14874" w:rsidRDefault="00D14874" w:rsidP="00D14874">
      <w:pPr>
        <w:rPr>
          <w:rFonts w:ascii="Arial" w:hAnsi="Arial" w:cs="Arial"/>
          <w:sz w:val="22"/>
          <w:szCs w:val="22"/>
        </w:rPr>
      </w:pPr>
      <w:r w:rsidRPr="00D14874">
        <w:rPr>
          <w:rFonts w:ascii="Arial" w:hAnsi="Arial" w:cs="Arial"/>
          <w:sz w:val="22"/>
          <w:szCs w:val="22"/>
        </w:rPr>
        <w:t xml:space="preserve">_____ Audited financial statements were obtained and reviewed. </w:t>
      </w:r>
    </w:p>
    <w:p w14:paraId="6BCC357E" w14:textId="77777777" w:rsidR="00D14874" w:rsidRPr="00D14874" w:rsidRDefault="00D14874" w:rsidP="00D14874">
      <w:pPr>
        <w:ind w:right="-180"/>
        <w:rPr>
          <w:rFonts w:ascii="Arial" w:hAnsi="Arial" w:cs="Arial"/>
          <w:sz w:val="22"/>
          <w:szCs w:val="22"/>
        </w:rPr>
      </w:pPr>
      <w:r w:rsidRPr="00D14874">
        <w:rPr>
          <w:rFonts w:ascii="Arial" w:hAnsi="Arial" w:cs="Arial"/>
          <w:sz w:val="22"/>
          <w:szCs w:val="22"/>
        </w:rPr>
        <w:tab/>
        <w:t xml:space="preserve">  </w:t>
      </w:r>
    </w:p>
    <w:p w14:paraId="142D1CD6" w14:textId="77777777" w:rsidR="00D14874" w:rsidRPr="00D14874" w:rsidRDefault="00D14874" w:rsidP="00D14874">
      <w:pPr>
        <w:rPr>
          <w:rFonts w:ascii="Arial" w:hAnsi="Arial" w:cs="Arial"/>
          <w:b/>
          <w:sz w:val="22"/>
          <w:szCs w:val="22"/>
        </w:rPr>
      </w:pPr>
      <w:r w:rsidRPr="00D14874">
        <w:rPr>
          <w:rFonts w:ascii="Arial" w:hAnsi="Arial" w:cs="Arial"/>
          <w:sz w:val="22"/>
          <w:szCs w:val="22"/>
        </w:rPr>
        <w:t xml:space="preserve">_____ Other financial information was obtained and reviewed (audited financial statements were not available).  </w:t>
      </w:r>
    </w:p>
    <w:p w14:paraId="21B7ED2D" w14:textId="77777777" w:rsidR="00D14874" w:rsidRPr="00D14874" w:rsidRDefault="00D14874" w:rsidP="00D14874">
      <w:pPr>
        <w:rPr>
          <w:rFonts w:ascii="Arial" w:hAnsi="Arial" w:cs="Arial"/>
          <w:sz w:val="22"/>
          <w:szCs w:val="22"/>
        </w:rPr>
      </w:pPr>
      <w:r w:rsidRPr="00D14874">
        <w:rPr>
          <w:rFonts w:ascii="Arial" w:hAnsi="Arial" w:cs="Arial"/>
          <w:b/>
          <w:sz w:val="22"/>
          <w:szCs w:val="22"/>
        </w:rPr>
        <w:t xml:space="preserve"> </w:t>
      </w:r>
      <w:r w:rsidRPr="00D14874">
        <w:rPr>
          <w:rFonts w:ascii="Arial" w:hAnsi="Arial" w:cs="Arial"/>
          <w:b/>
          <w:sz w:val="22"/>
          <w:szCs w:val="22"/>
        </w:rPr>
        <w:tab/>
        <w:t xml:space="preserve">  </w:t>
      </w:r>
      <w:r w:rsidRPr="00D14874">
        <w:rPr>
          <w:rFonts w:ascii="Arial" w:hAnsi="Arial" w:cs="Arial"/>
          <w:sz w:val="22"/>
          <w:szCs w:val="22"/>
        </w:rPr>
        <w:t xml:space="preserve">Type of information (ex. credit report, quarterly reports) _____________________________________ </w:t>
      </w:r>
    </w:p>
    <w:p w14:paraId="28128A00" w14:textId="77777777" w:rsidR="00D14874" w:rsidRPr="00D14874" w:rsidRDefault="00D14874" w:rsidP="00D14874">
      <w:pPr>
        <w:rPr>
          <w:rFonts w:ascii="Arial" w:hAnsi="Arial" w:cs="Arial"/>
          <w:sz w:val="22"/>
          <w:szCs w:val="22"/>
        </w:rPr>
      </w:pPr>
    </w:p>
    <w:p w14:paraId="6A44F3BF" w14:textId="77777777" w:rsidR="00D14874" w:rsidRPr="00D14874" w:rsidRDefault="00D14874" w:rsidP="00D14874">
      <w:pPr>
        <w:ind w:right="-180"/>
        <w:rPr>
          <w:rFonts w:ascii="Arial" w:hAnsi="Arial" w:cs="Arial"/>
          <w:sz w:val="22"/>
          <w:szCs w:val="22"/>
        </w:rPr>
      </w:pPr>
      <w:r w:rsidRPr="00D14874">
        <w:rPr>
          <w:rFonts w:ascii="Arial" w:hAnsi="Arial" w:cs="Arial"/>
          <w:sz w:val="22"/>
          <w:szCs w:val="22"/>
        </w:rPr>
        <w:t>_____ An evaluation of the vendor’s financial condition, completed by a bank’s credit analyst, is attached.</w:t>
      </w:r>
    </w:p>
    <w:p w14:paraId="7247C6BE" w14:textId="77777777" w:rsidR="00694DF1" w:rsidRDefault="00694DF1" w:rsidP="00D14874">
      <w:pPr>
        <w:tabs>
          <w:tab w:val="left" w:pos="90"/>
        </w:tabs>
        <w:ind w:left="90" w:hanging="90"/>
        <w:rPr>
          <w:rFonts w:ascii="Arial" w:hAnsi="Arial" w:cs="Arial"/>
          <w:b/>
          <w:sz w:val="20"/>
          <w:szCs w:val="20"/>
        </w:rPr>
      </w:pPr>
    </w:p>
    <w:p w14:paraId="46A0577E" w14:textId="77777777" w:rsidR="00D14874" w:rsidRPr="00D14874" w:rsidRDefault="00D14874" w:rsidP="00D14874">
      <w:pPr>
        <w:tabs>
          <w:tab w:val="left" w:pos="90"/>
        </w:tabs>
        <w:ind w:left="90" w:hanging="90"/>
        <w:rPr>
          <w:rFonts w:ascii="Arial" w:hAnsi="Arial" w:cs="Arial"/>
          <w:b/>
          <w:sz w:val="20"/>
          <w:szCs w:val="20"/>
        </w:rPr>
      </w:pPr>
      <w:r w:rsidRPr="00D14874">
        <w:rPr>
          <w:rFonts w:ascii="Arial" w:hAnsi="Arial" w:cs="Arial"/>
          <w:b/>
          <w:sz w:val="20"/>
          <w:szCs w:val="20"/>
        </w:rPr>
        <w:t>*All risk assessment documentation obtained, reviewed, or produced, will be reviewed by the bank’s Risk Manager and retained by vendor in the bank’s vendor management files.</w:t>
      </w:r>
    </w:p>
    <w:p w14:paraId="104948FB" w14:textId="77777777" w:rsidR="00D14874" w:rsidRPr="00D14874" w:rsidRDefault="00D14874" w:rsidP="00D14874">
      <w:pPr>
        <w:spacing w:line="360" w:lineRule="auto"/>
        <w:rPr>
          <w:rFonts w:ascii="Arial" w:hAnsi="Arial" w:cs="Arial"/>
          <w:b/>
        </w:rPr>
      </w:pPr>
      <w:r w:rsidRPr="00D14874">
        <w:rPr>
          <w:rFonts w:ascii="Arial" w:hAnsi="Arial" w:cs="Arial"/>
          <w:b/>
        </w:rPr>
        <w:t>RISK ASSESSMENT CONSIDERATIONS</w:t>
      </w:r>
    </w:p>
    <w:p w14:paraId="66816E3E" w14:textId="77777777" w:rsidR="00D14874" w:rsidRPr="00D14874" w:rsidRDefault="00D14874" w:rsidP="00D14874">
      <w:pPr>
        <w:rPr>
          <w:rFonts w:ascii="Arial" w:hAnsi="Arial" w:cs="Arial"/>
          <w:sz w:val="22"/>
          <w:szCs w:val="22"/>
        </w:rPr>
      </w:pPr>
      <w:r w:rsidRPr="00D14874">
        <w:rPr>
          <w:rFonts w:ascii="Arial" w:hAnsi="Arial" w:cs="Arial"/>
          <w:sz w:val="22"/>
          <w:szCs w:val="22"/>
        </w:rPr>
        <w:t>Complete the vendor risk assessment providing the information requested in each category.  Consider (1) any potential risk issues, (2) the degree of exposure to loss, (3) the methods used to measure/monitor risks (i.e., the primary systems, reports, committees, etc.), and (4) the frequency of risk measuring/monitoring.</w:t>
      </w:r>
    </w:p>
    <w:p w14:paraId="0E6F2F0C" w14:textId="77777777" w:rsidR="00D14874" w:rsidRDefault="00D14874" w:rsidP="00D14874">
      <w:pPr>
        <w:tabs>
          <w:tab w:val="left" w:pos="720"/>
        </w:tabs>
        <w:rPr>
          <w:rFonts w:ascii="Arial" w:hAnsi="Arial" w:cs="Arial"/>
          <w:b/>
          <w:sz w:val="16"/>
          <w:szCs w:val="16"/>
        </w:rPr>
      </w:pPr>
    </w:p>
    <w:p w14:paraId="5A6C8FC3" w14:textId="77777777" w:rsidR="00D45004" w:rsidRPr="00D45004" w:rsidRDefault="00D45004" w:rsidP="00D14874">
      <w:pPr>
        <w:tabs>
          <w:tab w:val="left" w:pos="720"/>
        </w:tabs>
        <w:rPr>
          <w:rFonts w:ascii="Arial" w:hAnsi="Arial" w:cs="Arial"/>
          <w:b/>
          <w:sz w:val="16"/>
          <w:szCs w:val="16"/>
        </w:rPr>
      </w:pPr>
    </w:p>
    <w:p w14:paraId="11D412B8" w14:textId="77777777" w:rsidR="00D14874" w:rsidRPr="00D14874" w:rsidRDefault="00D14874" w:rsidP="00D14874">
      <w:pPr>
        <w:rPr>
          <w:rFonts w:ascii="Arial" w:hAnsi="Arial" w:cs="Arial"/>
          <w:b/>
        </w:rPr>
      </w:pPr>
      <w:r w:rsidRPr="00D14874">
        <w:rPr>
          <w:rFonts w:ascii="Arial" w:hAnsi="Arial" w:cs="Arial"/>
          <w:b/>
        </w:rPr>
        <w:t>DESCRIPTION OF VENDOR RELATIONSHIP</w:t>
      </w:r>
    </w:p>
    <w:p w14:paraId="0FDEDF62" w14:textId="77777777" w:rsidR="00D14874" w:rsidRPr="00D14874" w:rsidRDefault="00D14874" w:rsidP="00D14874">
      <w:pPr>
        <w:jc w:val="both"/>
        <w:rPr>
          <w:rFonts w:ascii="Arial" w:hAnsi="Arial" w:cs="Arial"/>
          <w:sz w:val="22"/>
          <w:szCs w:val="22"/>
        </w:rPr>
      </w:pPr>
    </w:p>
    <w:p w14:paraId="742C7177" w14:textId="77777777" w:rsidR="00D14874" w:rsidRPr="00D14874" w:rsidRDefault="00D14874" w:rsidP="00B865DE">
      <w:pPr>
        <w:ind w:left="540" w:hanging="450"/>
        <w:rPr>
          <w:rFonts w:ascii="Arial" w:hAnsi="Arial" w:cs="Arial"/>
          <w:sz w:val="22"/>
          <w:szCs w:val="22"/>
        </w:rPr>
      </w:pPr>
      <w:r w:rsidRPr="00D14874">
        <w:rPr>
          <w:rFonts w:ascii="Arial" w:hAnsi="Arial" w:cs="Arial"/>
          <w:b/>
          <w:sz w:val="22"/>
          <w:szCs w:val="22"/>
        </w:rPr>
        <w:t xml:space="preserve">1.  </w:t>
      </w:r>
      <w:r w:rsidRPr="00D14874">
        <w:rPr>
          <w:rFonts w:ascii="Arial" w:hAnsi="Arial" w:cs="Arial"/>
          <w:b/>
          <w:sz w:val="22"/>
          <w:szCs w:val="22"/>
          <w:u w:val="single"/>
        </w:rPr>
        <w:t>BRIEFLY DESCRIBE THIS VENDOR</w:t>
      </w:r>
      <w:r w:rsidRPr="00D14874">
        <w:rPr>
          <w:rFonts w:ascii="Arial" w:hAnsi="Arial" w:cs="Arial"/>
          <w:b/>
          <w:sz w:val="22"/>
          <w:szCs w:val="22"/>
        </w:rPr>
        <w:t>:</w:t>
      </w:r>
      <w:r w:rsidRPr="00D14874">
        <w:rPr>
          <w:rFonts w:ascii="Arial" w:hAnsi="Arial" w:cs="Arial"/>
          <w:sz w:val="22"/>
          <w:szCs w:val="22"/>
        </w:rPr>
        <w:t xml:space="preserve"> (Include the type of business, products/services offered, relative size and geographic market, length of time in business…) </w:t>
      </w:r>
    </w:p>
    <w:p w14:paraId="6809CB47" w14:textId="77777777" w:rsidR="00D14874" w:rsidRPr="00D14874" w:rsidRDefault="00D14874" w:rsidP="00D14874">
      <w:pPr>
        <w:ind w:left="630" w:hanging="630"/>
        <w:rPr>
          <w:rFonts w:ascii="Arial" w:hAnsi="Arial" w:cs="Arial"/>
          <w:sz w:val="22"/>
          <w:szCs w:val="22"/>
        </w:rPr>
      </w:pPr>
    </w:p>
    <w:p w14:paraId="5AC8561B" w14:textId="77777777" w:rsidR="00D14874" w:rsidRPr="00D14874" w:rsidRDefault="00D14874" w:rsidP="00D14874">
      <w:pPr>
        <w:ind w:left="630" w:hanging="630"/>
        <w:rPr>
          <w:rFonts w:ascii="Arial" w:hAnsi="Arial" w:cs="Arial"/>
          <w:sz w:val="22"/>
          <w:szCs w:val="22"/>
        </w:rPr>
      </w:pPr>
    </w:p>
    <w:p w14:paraId="529C388D" w14:textId="77777777" w:rsidR="00D14874" w:rsidRPr="00D14874" w:rsidRDefault="00D14874" w:rsidP="00D14874">
      <w:pPr>
        <w:ind w:left="630" w:hanging="630"/>
        <w:rPr>
          <w:rFonts w:ascii="Arial" w:hAnsi="Arial" w:cs="Arial"/>
          <w:sz w:val="22"/>
          <w:szCs w:val="22"/>
        </w:rPr>
      </w:pPr>
    </w:p>
    <w:p w14:paraId="4E3264E5" w14:textId="77777777" w:rsidR="00D14874" w:rsidRPr="00D14874" w:rsidRDefault="00D14874" w:rsidP="00D14874">
      <w:pPr>
        <w:ind w:left="630" w:hanging="630"/>
        <w:rPr>
          <w:rFonts w:ascii="Arial" w:hAnsi="Arial" w:cs="Arial"/>
          <w:sz w:val="22"/>
          <w:szCs w:val="22"/>
        </w:rPr>
      </w:pPr>
    </w:p>
    <w:p w14:paraId="7E557FB4" w14:textId="77777777" w:rsidR="00D14874" w:rsidRPr="00D14874" w:rsidRDefault="00D14874" w:rsidP="00D14874">
      <w:pPr>
        <w:ind w:left="630" w:hanging="630"/>
        <w:rPr>
          <w:rFonts w:ascii="Arial" w:hAnsi="Arial" w:cs="Arial"/>
          <w:sz w:val="22"/>
          <w:szCs w:val="22"/>
        </w:rPr>
      </w:pPr>
    </w:p>
    <w:p w14:paraId="3111066A" w14:textId="6CEB295C" w:rsidR="00D14874" w:rsidRPr="00D14874" w:rsidRDefault="00D14874" w:rsidP="00D14874">
      <w:pPr>
        <w:ind w:left="630" w:hanging="630"/>
        <w:rPr>
          <w:rFonts w:ascii="Arial" w:hAnsi="Arial" w:cs="Arial"/>
          <w:b/>
          <w:sz w:val="22"/>
          <w:szCs w:val="22"/>
        </w:rPr>
      </w:pPr>
      <w:r w:rsidRPr="00D14874">
        <w:rPr>
          <w:rFonts w:ascii="Arial" w:hAnsi="Arial" w:cs="Arial"/>
          <w:b/>
          <w:sz w:val="22"/>
          <w:szCs w:val="22"/>
        </w:rPr>
        <w:t xml:space="preserve">2.  </w:t>
      </w:r>
      <w:r w:rsidRPr="00D14874">
        <w:rPr>
          <w:rFonts w:ascii="Arial" w:hAnsi="Arial" w:cs="Arial"/>
          <w:b/>
          <w:sz w:val="22"/>
          <w:szCs w:val="22"/>
          <w:u w:val="single"/>
        </w:rPr>
        <w:t xml:space="preserve">LIST OR EXPLAIN THE PRODUCTS/SERVICES THIS VENDOR PROVIDES TO </w:t>
      </w:r>
      <w:r w:rsidR="000E40DB">
        <w:rPr>
          <w:rFonts w:ascii="Arial" w:hAnsi="Arial" w:cs="Arial"/>
          <w:b/>
          <w:sz w:val="22"/>
          <w:szCs w:val="22"/>
          <w:u w:val="single"/>
        </w:rPr>
        <w:t>&lt;NAME&gt;</w:t>
      </w:r>
      <w:r w:rsidRPr="00D14874">
        <w:rPr>
          <w:rFonts w:ascii="Arial" w:hAnsi="Arial" w:cs="Arial"/>
          <w:b/>
          <w:sz w:val="22"/>
          <w:szCs w:val="22"/>
        </w:rPr>
        <w:t>:</w:t>
      </w:r>
    </w:p>
    <w:p w14:paraId="752FEB3E" w14:textId="77777777" w:rsidR="00D14874" w:rsidRPr="00D14874" w:rsidRDefault="00D14874" w:rsidP="00D14874">
      <w:pPr>
        <w:rPr>
          <w:rFonts w:ascii="Arial" w:hAnsi="Arial" w:cs="Arial"/>
          <w:sz w:val="22"/>
          <w:szCs w:val="22"/>
        </w:rPr>
      </w:pPr>
    </w:p>
    <w:p w14:paraId="4A60A874" w14:textId="77777777" w:rsidR="00D14874" w:rsidRPr="00D14874" w:rsidRDefault="00D14874" w:rsidP="00D14874">
      <w:pPr>
        <w:rPr>
          <w:rFonts w:ascii="Arial" w:hAnsi="Arial" w:cs="Arial"/>
          <w:sz w:val="22"/>
          <w:szCs w:val="22"/>
        </w:rPr>
      </w:pPr>
    </w:p>
    <w:p w14:paraId="792B3896" w14:textId="77777777" w:rsidR="00D14874" w:rsidRPr="00D14874" w:rsidRDefault="00D14874" w:rsidP="00D14874">
      <w:pPr>
        <w:rPr>
          <w:rFonts w:ascii="Arial" w:hAnsi="Arial" w:cs="Arial"/>
          <w:sz w:val="22"/>
          <w:szCs w:val="22"/>
        </w:rPr>
      </w:pPr>
    </w:p>
    <w:p w14:paraId="0A26D984" w14:textId="77777777" w:rsidR="00D14874" w:rsidRDefault="00D14874" w:rsidP="00D14874">
      <w:pPr>
        <w:rPr>
          <w:rFonts w:ascii="Arial" w:hAnsi="Arial" w:cs="Arial"/>
          <w:sz w:val="22"/>
          <w:szCs w:val="22"/>
        </w:rPr>
      </w:pPr>
    </w:p>
    <w:p w14:paraId="0F735CB8" w14:textId="77777777" w:rsidR="00242EAC" w:rsidRPr="00D14874" w:rsidRDefault="00242EAC" w:rsidP="00D14874">
      <w:pPr>
        <w:rPr>
          <w:rFonts w:ascii="Arial" w:hAnsi="Arial" w:cs="Arial"/>
          <w:sz w:val="22"/>
          <w:szCs w:val="22"/>
        </w:rPr>
      </w:pPr>
    </w:p>
    <w:p w14:paraId="57B8C86C" w14:textId="77777777" w:rsidR="00D14874" w:rsidRPr="00D14874" w:rsidRDefault="00D14874" w:rsidP="00D14874">
      <w:pPr>
        <w:spacing w:line="276" w:lineRule="auto"/>
        <w:rPr>
          <w:rFonts w:ascii="Arial" w:hAnsi="Arial" w:cs="Arial"/>
          <w:b/>
          <w:sz w:val="22"/>
          <w:szCs w:val="22"/>
        </w:rPr>
      </w:pPr>
      <w:r w:rsidRPr="00D14874">
        <w:rPr>
          <w:rFonts w:ascii="Arial" w:hAnsi="Arial" w:cs="Arial"/>
          <w:b/>
          <w:sz w:val="22"/>
          <w:szCs w:val="22"/>
        </w:rPr>
        <w:t xml:space="preserve">3.  </w:t>
      </w:r>
      <w:r w:rsidRPr="00D14874">
        <w:rPr>
          <w:rFonts w:ascii="Arial" w:hAnsi="Arial" w:cs="Arial"/>
          <w:b/>
          <w:sz w:val="22"/>
          <w:szCs w:val="22"/>
          <w:u w:val="single"/>
        </w:rPr>
        <w:t>NOTE THE KEY ELEMENTS OF THE CONTRACT BETWEEN THE BANK AND THIS VENDOR</w:t>
      </w:r>
      <w:r w:rsidRPr="00D14874">
        <w:rPr>
          <w:rFonts w:ascii="Arial" w:hAnsi="Arial" w:cs="Arial"/>
          <w:b/>
          <w:sz w:val="22"/>
          <w:szCs w:val="22"/>
        </w:rPr>
        <w:t>:</w:t>
      </w:r>
    </w:p>
    <w:p w14:paraId="66EDBF4F" w14:textId="77777777" w:rsidR="00D14874" w:rsidRPr="00D14874" w:rsidRDefault="00D14874" w:rsidP="00D14874">
      <w:pPr>
        <w:ind w:left="720"/>
        <w:rPr>
          <w:rFonts w:ascii="Arial" w:hAnsi="Arial" w:cs="Arial"/>
          <w:sz w:val="22"/>
          <w:szCs w:val="22"/>
        </w:rPr>
      </w:pPr>
    </w:p>
    <w:p w14:paraId="49D11F01" w14:textId="77777777" w:rsidR="00D14874" w:rsidRPr="00D14874" w:rsidRDefault="00D14874" w:rsidP="00D14874">
      <w:pPr>
        <w:numPr>
          <w:ilvl w:val="0"/>
          <w:numId w:val="20"/>
        </w:numPr>
        <w:spacing w:line="360" w:lineRule="auto"/>
        <w:rPr>
          <w:rFonts w:ascii="Arial" w:hAnsi="Arial" w:cs="Arial"/>
          <w:sz w:val="22"/>
          <w:szCs w:val="22"/>
        </w:rPr>
        <w:sectPr w:rsidR="00D14874" w:rsidRPr="00D14874" w:rsidSect="00B23F18">
          <w:footerReference w:type="even" r:id="rId8"/>
          <w:footerReference w:type="default" r:id="rId9"/>
          <w:footerReference w:type="first" r:id="rId10"/>
          <w:pgSz w:w="12240" w:h="15840" w:code="1"/>
          <w:pgMar w:top="576" w:right="576" w:bottom="432" w:left="720" w:header="432" w:footer="144" w:gutter="0"/>
          <w:cols w:space="720"/>
          <w:docGrid w:linePitch="360"/>
        </w:sectPr>
      </w:pPr>
    </w:p>
    <w:p w14:paraId="769F3304" w14:textId="77777777" w:rsidR="00D14874" w:rsidRPr="00D14874" w:rsidRDefault="00D14874" w:rsidP="00D14874">
      <w:pPr>
        <w:numPr>
          <w:ilvl w:val="0"/>
          <w:numId w:val="20"/>
        </w:numPr>
        <w:spacing w:line="360" w:lineRule="auto"/>
        <w:rPr>
          <w:rFonts w:ascii="Arial" w:hAnsi="Arial" w:cs="Arial"/>
          <w:sz w:val="22"/>
          <w:szCs w:val="22"/>
        </w:rPr>
      </w:pPr>
      <w:r w:rsidRPr="00D14874">
        <w:rPr>
          <w:rFonts w:ascii="Arial" w:hAnsi="Arial" w:cs="Arial"/>
          <w:sz w:val="22"/>
          <w:szCs w:val="22"/>
        </w:rPr>
        <w:t>Date of Contract _____________________</w:t>
      </w:r>
    </w:p>
    <w:p w14:paraId="54750F7F" w14:textId="77777777" w:rsidR="00D14874" w:rsidRPr="00D14874" w:rsidRDefault="00D14874" w:rsidP="00D14874">
      <w:pPr>
        <w:numPr>
          <w:ilvl w:val="0"/>
          <w:numId w:val="20"/>
        </w:numPr>
        <w:spacing w:line="360" w:lineRule="auto"/>
        <w:rPr>
          <w:rFonts w:ascii="Arial" w:hAnsi="Arial" w:cs="Arial"/>
          <w:sz w:val="22"/>
          <w:szCs w:val="22"/>
        </w:rPr>
      </w:pPr>
      <w:r w:rsidRPr="00D14874">
        <w:rPr>
          <w:rFonts w:ascii="Arial" w:hAnsi="Arial" w:cs="Arial"/>
          <w:sz w:val="22"/>
          <w:szCs w:val="22"/>
        </w:rPr>
        <w:t xml:space="preserve">Contract Term _______________________ </w:t>
      </w:r>
    </w:p>
    <w:p w14:paraId="29E05C78" w14:textId="77777777" w:rsidR="00D14874" w:rsidRPr="00D14874" w:rsidRDefault="00D14874" w:rsidP="00D14874">
      <w:pPr>
        <w:numPr>
          <w:ilvl w:val="0"/>
          <w:numId w:val="20"/>
        </w:numPr>
        <w:spacing w:line="360" w:lineRule="auto"/>
        <w:rPr>
          <w:rFonts w:ascii="Arial" w:hAnsi="Arial" w:cs="Arial"/>
          <w:sz w:val="22"/>
          <w:szCs w:val="22"/>
        </w:rPr>
      </w:pPr>
      <w:r w:rsidRPr="00D14874">
        <w:rPr>
          <w:rFonts w:ascii="Arial" w:hAnsi="Arial" w:cs="Arial"/>
          <w:sz w:val="22"/>
          <w:szCs w:val="22"/>
        </w:rPr>
        <w:t>Contract Expiration Date _______________</w:t>
      </w:r>
    </w:p>
    <w:p w14:paraId="1F483F90" w14:textId="77777777" w:rsidR="00D14874" w:rsidRPr="00D14874" w:rsidRDefault="00D14874" w:rsidP="00D3483E">
      <w:pPr>
        <w:numPr>
          <w:ilvl w:val="0"/>
          <w:numId w:val="20"/>
        </w:numPr>
        <w:spacing w:line="360" w:lineRule="auto"/>
        <w:rPr>
          <w:rFonts w:ascii="Arial" w:hAnsi="Arial" w:cs="Arial"/>
          <w:sz w:val="22"/>
          <w:szCs w:val="22"/>
        </w:rPr>
      </w:pPr>
      <w:r w:rsidRPr="00D14874">
        <w:rPr>
          <w:rFonts w:ascii="Arial" w:hAnsi="Arial" w:cs="Arial"/>
          <w:sz w:val="22"/>
          <w:szCs w:val="22"/>
        </w:rPr>
        <w:t>Auto-Renewal Terms __________________</w:t>
      </w:r>
      <w:r w:rsidRPr="00D14874">
        <w:rPr>
          <w:rFonts w:ascii="Arial" w:hAnsi="Arial" w:cs="Arial"/>
          <w:color w:val="FF0000"/>
          <w:sz w:val="22"/>
          <w:szCs w:val="22"/>
        </w:rPr>
        <w:t xml:space="preserve"> </w:t>
      </w:r>
    </w:p>
    <w:p w14:paraId="31BB343B" w14:textId="77777777" w:rsidR="00D14874" w:rsidRPr="00D14874" w:rsidRDefault="00D14874" w:rsidP="00D14874">
      <w:pPr>
        <w:numPr>
          <w:ilvl w:val="0"/>
          <w:numId w:val="20"/>
        </w:numPr>
        <w:spacing w:line="360" w:lineRule="auto"/>
        <w:ind w:left="360"/>
        <w:rPr>
          <w:rFonts w:ascii="Arial" w:hAnsi="Arial" w:cs="Arial"/>
          <w:sz w:val="22"/>
          <w:szCs w:val="22"/>
        </w:rPr>
      </w:pPr>
      <w:r w:rsidRPr="00D14874">
        <w:rPr>
          <w:rFonts w:ascii="Arial" w:hAnsi="Arial" w:cs="Arial"/>
          <w:sz w:val="22"/>
          <w:szCs w:val="22"/>
        </w:rPr>
        <w:t>Non-Renewal Notification (# Days) ____________</w:t>
      </w:r>
    </w:p>
    <w:p w14:paraId="75CF88C2" w14:textId="77777777" w:rsidR="00D14874" w:rsidRPr="00D14874" w:rsidRDefault="00D14874" w:rsidP="00D14874">
      <w:pPr>
        <w:numPr>
          <w:ilvl w:val="0"/>
          <w:numId w:val="20"/>
        </w:numPr>
        <w:spacing w:line="360" w:lineRule="auto"/>
        <w:ind w:left="360"/>
        <w:rPr>
          <w:rFonts w:ascii="Arial" w:hAnsi="Arial" w:cs="Arial"/>
          <w:sz w:val="22"/>
          <w:szCs w:val="22"/>
        </w:rPr>
      </w:pPr>
      <w:r w:rsidRPr="00D14874">
        <w:rPr>
          <w:rFonts w:ascii="Arial" w:hAnsi="Arial" w:cs="Arial"/>
          <w:sz w:val="22"/>
          <w:szCs w:val="22"/>
        </w:rPr>
        <w:t>Is Notification of Vendor Breach Required _______</w:t>
      </w:r>
    </w:p>
    <w:p w14:paraId="35BE65B3" w14:textId="77777777" w:rsidR="00D14874" w:rsidRPr="00D14874" w:rsidRDefault="00242EAC" w:rsidP="00D14874">
      <w:pPr>
        <w:numPr>
          <w:ilvl w:val="0"/>
          <w:numId w:val="20"/>
        </w:numPr>
        <w:spacing w:line="360" w:lineRule="auto"/>
        <w:ind w:left="360"/>
        <w:rPr>
          <w:rFonts w:ascii="Arial" w:hAnsi="Arial" w:cs="Arial"/>
          <w:sz w:val="22"/>
          <w:szCs w:val="22"/>
        </w:rPr>
      </w:pPr>
      <w:r w:rsidRPr="00D14874">
        <w:rPr>
          <w:rFonts w:ascii="Arial" w:hAnsi="Arial" w:cs="Arial"/>
          <w:sz w:val="22"/>
          <w:szCs w:val="22"/>
        </w:rPr>
        <w:t xml:space="preserve">Signed </w:t>
      </w:r>
      <w:r w:rsidR="00D14874" w:rsidRPr="00D14874">
        <w:rPr>
          <w:rFonts w:ascii="Arial" w:hAnsi="Arial" w:cs="Arial"/>
          <w:sz w:val="22"/>
          <w:szCs w:val="22"/>
        </w:rPr>
        <w:t>Confidentiality Agreement _____________</w:t>
      </w:r>
    </w:p>
    <w:p w14:paraId="64505B2B" w14:textId="77777777" w:rsidR="00D14874" w:rsidRPr="00D14874" w:rsidRDefault="00D14874" w:rsidP="00D14874">
      <w:pPr>
        <w:spacing w:line="360" w:lineRule="auto"/>
        <w:rPr>
          <w:rFonts w:ascii="Arial" w:hAnsi="Arial" w:cs="Arial"/>
          <w:sz w:val="22"/>
          <w:szCs w:val="22"/>
        </w:rPr>
      </w:pPr>
    </w:p>
    <w:p w14:paraId="79C663F9" w14:textId="77777777" w:rsidR="00D14874" w:rsidRPr="00D14874" w:rsidRDefault="00D14874" w:rsidP="00D14874">
      <w:pPr>
        <w:spacing w:line="360" w:lineRule="auto"/>
        <w:rPr>
          <w:rFonts w:ascii="Arial" w:hAnsi="Arial" w:cs="Arial"/>
          <w:sz w:val="22"/>
          <w:szCs w:val="22"/>
        </w:rPr>
        <w:sectPr w:rsidR="00D14874" w:rsidRPr="00D14874" w:rsidSect="00B23F18">
          <w:type w:val="continuous"/>
          <w:pgSz w:w="12240" w:h="15840" w:code="1"/>
          <w:pgMar w:top="576" w:right="576" w:bottom="432" w:left="720" w:header="432" w:footer="144" w:gutter="0"/>
          <w:cols w:num="2" w:space="36"/>
          <w:docGrid w:linePitch="360"/>
        </w:sectPr>
      </w:pPr>
    </w:p>
    <w:p w14:paraId="4AF6421D" w14:textId="77777777" w:rsidR="00D14874" w:rsidRPr="00D14874" w:rsidRDefault="00D14874" w:rsidP="00D14874">
      <w:pPr>
        <w:numPr>
          <w:ilvl w:val="0"/>
          <w:numId w:val="20"/>
        </w:numPr>
        <w:spacing w:line="360" w:lineRule="auto"/>
        <w:rPr>
          <w:rFonts w:ascii="Arial" w:hAnsi="Arial" w:cs="Arial"/>
          <w:sz w:val="22"/>
          <w:szCs w:val="22"/>
        </w:rPr>
      </w:pPr>
      <w:r w:rsidRPr="00D14874">
        <w:rPr>
          <w:rFonts w:ascii="Arial" w:hAnsi="Arial" w:cs="Arial"/>
          <w:sz w:val="22"/>
          <w:szCs w:val="22"/>
        </w:rPr>
        <w:t>Is an Electronic Copy of the Current Contract Available for the Vendor’s File __________</w:t>
      </w:r>
    </w:p>
    <w:p w14:paraId="645339B6" w14:textId="77777777" w:rsidR="00D14874" w:rsidRDefault="00D14874" w:rsidP="00D14874">
      <w:pPr>
        <w:spacing w:line="360" w:lineRule="auto"/>
        <w:ind w:left="720"/>
        <w:rPr>
          <w:rFonts w:ascii="Arial" w:hAnsi="Arial" w:cs="Arial"/>
          <w:sz w:val="22"/>
          <w:szCs w:val="22"/>
        </w:rPr>
      </w:pPr>
      <w:r w:rsidRPr="00D14874">
        <w:rPr>
          <w:rFonts w:ascii="Arial" w:hAnsi="Arial" w:cs="Arial"/>
          <w:sz w:val="22"/>
          <w:szCs w:val="22"/>
        </w:rPr>
        <w:t>Note any service level commitments incorporated into the contract, along with the method used to measure/monitor the service performance level ___________________________________________</w:t>
      </w:r>
      <w:r w:rsidR="00D3483E" w:rsidRPr="00D14874">
        <w:rPr>
          <w:rFonts w:ascii="Arial" w:hAnsi="Arial" w:cs="Arial"/>
          <w:sz w:val="22"/>
          <w:szCs w:val="22"/>
        </w:rPr>
        <w:t>__________________________________________________________________________________</w:t>
      </w:r>
      <w:r w:rsidRPr="00D14874">
        <w:rPr>
          <w:rFonts w:ascii="Arial" w:hAnsi="Arial" w:cs="Arial"/>
          <w:sz w:val="22"/>
          <w:szCs w:val="22"/>
        </w:rPr>
        <w:t>___________________________________________________________________________________________________________________________________________________________________</w:t>
      </w:r>
      <w:r w:rsidR="00D3483E">
        <w:rPr>
          <w:rFonts w:ascii="Arial" w:hAnsi="Arial" w:cs="Arial"/>
          <w:sz w:val="22"/>
          <w:szCs w:val="22"/>
        </w:rPr>
        <w:t>___________________________________________</w:t>
      </w:r>
      <w:r w:rsidRPr="00D14874">
        <w:rPr>
          <w:rFonts w:ascii="Arial" w:hAnsi="Arial" w:cs="Arial"/>
          <w:sz w:val="22"/>
          <w:szCs w:val="22"/>
        </w:rPr>
        <w:t>_</w:t>
      </w:r>
    </w:p>
    <w:p w14:paraId="67D9D986" w14:textId="77777777" w:rsidR="00D14874" w:rsidRPr="00D14874" w:rsidRDefault="00D14874" w:rsidP="00D14874">
      <w:pPr>
        <w:rPr>
          <w:rFonts w:ascii="Arial" w:hAnsi="Arial" w:cs="Arial"/>
          <w:sz w:val="22"/>
          <w:szCs w:val="22"/>
        </w:rPr>
      </w:pPr>
      <w:r w:rsidRPr="00D14874">
        <w:rPr>
          <w:rFonts w:ascii="Arial" w:hAnsi="Arial" w:cs="Arial"/>
          <w:b/>
          <w:sz w:val="22"/>
          <w:szCs w:val="22"/>
        </w:rPr>
        <w:t xml:space="preserve">4.  </w:t>
      </w:r>
      <w:r w:rsidRPr="00D14874">
        <w:rPr>
          <w:rFonts w:ascii="Arial" w:hAnsi="Arial" w:cs="Arial"/>
          <w:b/>
          <w:sz w:val="22"/>
          <w:szCs w:val="22"/>
          <w:u w:val="single"/>
        </w:rPr>
        <w:t>HOW CRITICAL IS THIS VENDOR TO THE BANK’S BUSINESS OPERATIONS</w:t>
      </w:r>
      <w:r w:rsidRPr="00D14874">
        <w:rPr>
          <w:rFonts w:ascii="Arial" w:hAnsi="Arial" w:cs="Arial"/>
          <w:b/>
          <w:sz w:val="22"/>
          <w:szCs w:val="22"/>
        </w:rPr>
        <w:t xml:space="preserve">: </w:t>
      </w:r>
      <w:r w:rsidRPr="00D14874">
        <w:rPr>
          <w:rFonts w:ascii="Arial" w:hAnsi="Arial" w:cs="Arial"/>
          <w:sz w:val="22"/>
          <w:szCs w:val="22"/>
        </w:rPr>
        <w:t xml:space="preserve">(Access to sensitive </w:t>
      </w:r>
      <w:r w:rsidRPr="00D14874">
        <w:rPr>
          <w:rFonts w:ascii="Arial" w:hAnsi="Arial" w:cs="Arial"/>
          <w:sz w:val="22"/>
          <w:szCs w:val="22"/>
        </w:rPr>
        <w:tab/>
        <w:t>information; transaction processing; technology interface; customer contact</w:t>
      </w:r>
      <w:r w:rsidRPr="00D14874">
        <w:rPr>
          <w:rFonts w:ascii="Arial" w:hAnsi="Arial" w:cs="Arial"/>
          <w:b/>
          <w:sz w:val="22"/>
          <w:szCs w:val="22"/>
        </w:rPr>
        <w:t>…</w:t>
      </w:r>
      <w:r w:rsidRPr="00D14874">
        <w:rPr>
          <w:rFonts w:ascii="Arial" w:hAnsi="Arial" w:cs="Arial"/>
          <w:sz w:val="22"/>
          <w:szCs w:val="22"/>
        </w:rPr>
        <w:t>)</w:t>
      </w:r>
    </w:p>
    <w:p w14:paraId="2B7AE4CA" w14:textId="77777777" w:rsidR="00D14874" w:rsidRPr="00D14874" w:rsidRDefault="00D14874" w:rsidP="00D14874">
      <w:pPr>
        <w:rPr>
          <w:rFonts w:ascii="Arial" w:hAnsi="Arial" w:cs="Arial"/>
          <w:b/>
          <w:sz w:val="22"/>
          <w:szCs w:val="22"/>
        </w:rPr>
      </w:pPr>
    </w:p>
    <w:p w14:paraId="24A7DD92" w14:textId="77777777" w:rsidR="00D14874" w:rsidRPr="00D14874" w:rsidRDefault="00D14874" w:rsidP="00D14874">
      <w:pPr>
        <w:rPr>
          <w:rFonts w:ascii="Arial" w:hAnsi="Arial" w:cs="Arial"/>
          <w:b/>
          <w:sz w:val="22"/>
          <w:szCs w:val="22"/>
        </w:rPr>
      </w:pPr>
    </w:p>
    <w:p w14:paraId="56EBE8C1" w14:textId="77777777" w:rsidR="00D14874" w:rsidRPr="00D14874" w:rsidRDefault="00D14874" w:rsidP="00D14874">
      <w:pPr>
        <w:rPr>
          <w:rFonts w:ascii="Arial" w:hAnsi="Arial" w:cs="Arial"/>
          <w:b/>
          <w:sz w:val="22"/>
          <w:szCs w:val="22"/>
        </w:rPr>
      </w:pPr>
    </w:p>
    <w:p w14:paraId="334D0F3A" w14:textId="77777777" w:rsidR="00D14874" w:rsidRPr="00D14874" w:rsidRDefault="00D14874" w:rsidP="00D14874">
      <w:pPr>
        <w:rPr>
          <w:rFonts w:ascii="Arial" w:hAnsi="Arial" w:cs="Arial"/>
          <w:b/>
          <w:sz w:val="22"/>
          <w:szCs w:val="22"/>
        </w:rPr>
      </w:pPr>
    </w:p>
    <w:p w14:paraId="2E4DF91E" w14:textId="77777777" w:rsidR="00D14874" w:rsidRPr="00D14874" w:rsidRDefault="00D14874" w:rsidP="00D14874">
      <w:pPr>
        <w:ind w:right="-126"/>
        <w:rPr>
          <w:rFonts w:ascii="Arial" w:hAnsi="Arial" w:cs="Arial"/>
          <w:b/>
          <w:sz w:val="22"/>
          <w:szCs w:val="22"/>
        </w:rPr>
      </w:pPr>
      <w:r w:rsidRPr="00D14874">
        <w:rPr>
          <w:rFonts w:ascii="Arial" w:hAnsi="Arial" w:cs="Arial"/>
          <w:b/>
          <w:sz w:val="22"/>
          <w:szCs w:val="22"/>
        </w:rPr>
        <w:t xml:space="preserve">5.  </w:t>
      </w:r>
      <w:r w:rsidRPr="00D14874">
        <w:rPr>
          <w:rFonts w:ascii="Arial" w:hAnsi="Arial" w:cs="Arial"/>
          <w:b/>
          <w:sz w:val="22"/>
          <w:szCs w:val="22"/>
          <w:u w:val="single"/>
        </w:rPr>
        <w:t>HOW STRONG IS THIS VENDOR</w:t>
      </w:r>
      <w:r w:rsidRPr="00D14874">
        <w:rPr>
          <w:rFonts w:ascii="Arial" w:hAnsi="Arial" w:cs="Arial"/>
          <w:b/>
          <w:sz w:val="22"/>
          <w:szCs w:val="22"/>
        </w:rPr>
        <w:t xml:space="preserve">: </w:t>
      </w:r>
      <w:r w:rsidRPr="00D14874">
        <w:rPr>
          <w:rFonts w:ascii="Arial" w:hAnsi="Arial" w:cs="Arial"/>
          <w:sz w:val="22"/>
          <w:szCs w:val="22"/>
        </w:rPr>
        <w:t xml:space="preserve">(Financial position; technical advancements; reliance on subcontractors; </w:t>
      </w:r>
      <w:r w:rsidRPr="00D14874">
        <w:rPr>
          <w:rFonts w:ascii="Arial" w:hAnsi="Arial" w:cs="Arial"/>
          <w:sz w:val="22"/>
          <w:szCs w:val="22"/>
        </w:rPr>
        <w:tab/>
        <w:t xml:space="preserve">ability to meet growth; strength of internal controls, policies and procedures; background checks and </w:t>
      </w:r>
      <w:r w:rsidRPr="00D14874">
        <w:rPr>
          <w:rFonts w:ascii="Arial" w:hAnsi="Arial" w:cs="Arial"/>
          <w:sz w:val="22"/>
          <w:szCs w:val="22"/>
        </w:rPr>
        <w:tab/>
        <w:t>compliance training for employees</w:t>
      </w:r>
      <w:r w:rsidRPr="00D14874">
        <w:rPr>
          <w:rFonts w:ascii="Arial" w:hAnsi="Arial" w:cs="Arial"/>
          <w:b/>
          <w:sz w:val="22"/>
          <w:szCs w:val="22"/>
        </w:rPr>
        <w:t>……</w:t>
      </w:r>
      <w:r w:rsidRPr="00D14874">
        <w:rPr>
          <w:rFonts w:ascii="Arial" w:hAnsi="Arial" w:cs="Arial"/>
          <w:sz w:val="22"/>
          <w:szCs w:val="22"/>
        </w:rPr>
        <w:t xml:space="preserve">) </w:t>
      </w:r>
    </w:p>
    <w:p w14:paraId="005AAD99" w14:textId="77777777" w:rsidR="00D14874" w:rsidRPr="00D14874" w:rsidRDefault="00D14874" w:rsidP="00D14874">
      <w:pPr>
        <w:spacing w:line="276" w:lineRule="auto"/>
        <w:rPr>
          <w:rFonts w:ascii="Arial" w:hAnsi="Arial" w:cs="Arial"/>
          <w:sz w:val="22"/>
          <w:szCs w:val="22"/>
        </w:rPr>
      </w:pPr>
      <w:r w:rsidRPr="00D14874">
        <w:rPr>
          <w:rFonts w:ascii="Arial" w:hAnsi="Arial" w:cs="Arial"/>
          <w:sz w:val="22"/>
          <w:szCs w:val="22"/>
        </w:rPr>
        <w:t xml:space="preserve"> </w:t>
      </w:r>
    </w:p>
    <w:p w14:paraId="31C274D0" w14:textId="77777777" w:rsidR="00D14874" w:rsidRPr="00D14874" w:rsidRDefault="00D14874" w:rsidP="00D14874">
      <w:pPr>
        <w:spacing w:line="276" w:lineRule="auto"/>
        <w:rPr>
          <w:rFonts w:ascii="Arial" w:hAnsi="Arial" w:cs="Arial"/>
          <w:sz w:val="22"/>
          <w:szCs w:val="22"/>
        </w:rPr>
      </w:pPr>
      <w:r w:rsidRPr="00D14874">
        <w:rPr>
          <w:rFonts w:ascii="Arial" w:hAnsi="Arial" w:cs="Arial"/>
          <w:sz w:val="22"/>
          <w:szCs w:val="22"/>
        </w:rPr>
        <w:t xml:space="preserve"> </w:t>
      </w:r>
    </w:p>
    <w:p w14:paraId="0C082C2E" w14:textId="77777777" w:rsidR="00D14874" w:rsidRDefault="00D14874" w:rsidP="00D14874">
      <w:pPr>
        <w:rPr>
          <w:rFonts w:ascii="Arial" w:hAnsi="Arial" w:cs="Arial"/>
          <w:b/>
          <w:sz w:val="22"/>
          <w:szCs w:val="22"/>
        </w:rPr>
      </w:pPr>
    </w:p>
    <w:p w14:paraId="30938FB1" w14:textId="77777777" w:rsidR="00D3483E" w:rsidRDefault="00D3483E" w:rsidP="00D14874">
      <w:pPr>
        <w:rPr>
          <w:rFonts w:ascii="Arial" w:hAnsi="Arial" w:cs="Arial"/>
          <w:b/>
          <w:sz w:val="22"/>
          <w:szCs w:val="22"/>
        </w:rPr>
      </w:pPr>
    </w:p>
    <w:p w14:paraId="27FC4EDF" w14:textId="77777777" w:rsidR="00D14874" w:rsidRPr="00D14874" w:rsidRDefault="00D14874" w:rsidP="00D14874">
      <w:pPr>
        <w:rPr>
          <w:rFonts w:ascii="Arial" w:hAnsi="Arial" w:cs="Arial"/>
          <w:b/>
          <w:sz w:val="22"/>
          <w:szCs w:val="22"/>
        </w:rPr>
      </w:pPr>
      <w:r w:rsidRPr="00D14874">
        <w:rPr>
          <w:rFonts w:ascii="Arial" w:hAnsi="Arial" w:cs="Arial"/>
          <w:b/>
          <w:sz w:val="22"/>
          <w:szCs w:val="22"/>
        </w:rPr>
        <w:t xml:space="preserve">6.  </w:t>
      </w:r>
      <w:r w:rsidRPr="00D14874">
        <w:rPr>
          <w:rFonts w:ascii="Arial" w:hAnsi="Arial" w:cs="Arial"/>
          <w:b/>
          <w:sz w:val="22"/>
          <w:szCs w:val="22"/>
          <w:u w:val="single"/>
        </w:rPr>
        <w:t>HOW RELIABLE IS THIS VENDOR</w:t>
      </w:r>
      <w:r w:rsidRPr="00D14874">
        <w:rPr>
          <w:rFonts w:ascii="Arial" w:hAnsi="Arial" w:cs="Arial"/>
          <w:b/>
          <w:sz w:val="22"/>
          <w:szCs w:val="22"/>
        </w:rPr>
        <w:t xml:space="preserve">: </w:t>
      </w:r>
      <w:r w:rsidRPr="00D14874">
        <w:rPr>
          <w:rFonts w:ascii="Arial" w:hAnsi="Arial" w:cs="Arial"/>
          <w:sz w:val="22"/>
          <w:szCs w:val="22"/>
        </w:rPr>
        <w:t>(Business continuity plan; communication/responses; connectivity…)</w:t>
      </w:r>
      <w:r w:rsidRPr="00D14874">
        <w:rPr>
          <w:rFonts w:ascii="Arial" w:hAnsi="Arial" w:cs="Arial"/>
          <w:b/>
          <w:sz w:val="22"/>
          <w:szCs w:val="22"/>
        </w:rPr>
        <w:t xml:space="preserve"> </w:t>
      </w:r>
    </w:p>
    <w:p w14:paraId="156A8520" w14:textId="77777777" w:rsidR="00D14874" w:rsidRPr="00D14874" w:rsidRDefault="00D14874" w:rsidP="00D14874">
      <w:pPr>
        <w:rPr>
          <w:rFonts w:ascii="Arial" w:hAnsi="Arial" w:cs="Arial"/>
          <w:b/>
          <w:sz w:val="22"/>
          <w:szCs w:val="22"/>
        </w:rPr>
      </w:pPr>
    </w:p>
    <w:p w14:paraId="3281D45F" w14:textId="77777777" w:rsidR="00D14874" w:rsidRPr="00D14874" w:rsidRDefault="00D14874" w:rsidP="00D14874">
      <w:pPr>
        <w:ind w:right="-720"/>
        <w:rPr>
          <w:rFonts w:ascii="Arial" w:hAnsi="Arial" w:cs="Arial"/>
          <w:b/>
          <w:sz w:val="22"/>
          <w:szCs w:val="22"/>
        </w:rPr>
      </w:pPr>
    </w:p>
    <w:p w14:paraId="39BD1FBF" w14:textId="77777777" w:rsidR="00D14874" w:rsidRPr="00D14874" w:rsidRDefault="00D14874" w:rsidP="00D14874">
      <w:pPr>
        <w:rPr>
          <w:rFonts w:ascii="Arial" w:hAnsi="Arial" w:cs="Arial"/>
          <w:b/>
          <w:sz w:val="22"/>
          <w:szCs w:val="22"/>
        </w:rPr>
      </w:pPr>
    </w:p>
    <w:p w14:paraId="2777B70F" w14:textId="77777777" w:rsidR="00D14874" w:rsidRPr="00D14874" w:rsidRDefault="00D14874" w:rsidP="00D14874">
      <w:pPr>
        <w:ind w:right="-720"/>
        <w:rPr>
          <w:rFonts w:ascii="Arial" w:hAnsi="Arial" w:cs="Arial"/>
          <w:b/>
          <w:sz w:val="22"/>
          <w:szCs w:val="22"/>
        </w:rPr>
      </w:pPr>
      <w:r w:rsidRPr="00D14874">
        <w:rPr>
          <w:rFonts w:ascii="Arial" w:hAnsi="Arial" w:cs="Arial"/>
          <w:b/>
          <w:sz w:val="22"/>
          <w:szCs w:val="22"/>
        </w:rPr>
        <w:t>DETERMINING THE LEVEL OF RISK</w:t>
      </w:r>
      <w:r w:rsidRPr="00D14874">
        <w:rPr>
          <w:rFonts w:ascii="Arial" w:hAnsi="Arial" w:cs="Arial"/>
          <w:sz w:val="22"/>
          <w:szCs w:val="22"/>
        </w:rPr>
        <w:t xml:space="preserve"> </w:t>
      </w:r>
    </w:p>
    <w:p w14:paraId="36B677AB" w14:textId="77777777" w:rsidR="00D14874" w:rsidRPr="00D14874" w:rsidRDefault="00D14874" w:rsidP="00D14874">
      <w:pPr>
        <w:ind w:right="-180"/>
        <w:rPr>
          <w:rFonts w:ascii="Arial" w:hAnsi="Arial" w:cs="Arial"/>
          <w:sz w:val="22"/>
          <w:szCs w:val="22"/>
        </w:rPr>
      </w:pPr>
      <w:r w:rsidRPr="00D14874">
        <w:rPr>
          <w:rFonts w:ascii="Arial" w:hAnsi="Arial" w:cs="Arial"/>
          <w:sz w:val="22"/>
          <w:szCs w:val="22"/>
        </w:rPr>
        <w:t>The charts and definitions below should be used to assess the level of risk, or the Bank’s risk exposure, in each of the major risk categories listed on the following page.  A particular risk level is determined after considering both the severity of the impact, and the likelihood of the event occurring.  Using the descriptions in the charts below, determine the</w:t>
      </w:r>
      <w:r w:rsidRPr="00D14874">
        <w:rPr>
          <w:rFonts w:ascii="Arial" w:hAnsi="Arial" w:cs="Arial"/>
          <w:i/>
          <w:sz w:val="22"/>
          <w:szCs w:val="22"/>
        </w:rPr>
        <w:t xml:space="preserve"> Severity</w:t>
      </w:r>
      <w:r w:rsidRPr="00D14874">
        <w:rPr>
          <w:rFonts w:ascii="Arial" w:hAnsi="Arial" w:cs="Arial"/>
          <w:sz w:val="22"/>
          <w:szCs w:val="22"/>
        </w:rPr>
        <w:t xml:space="preserve"> (Chart II) and </w:t>
      </w:r>
      <w:r w:rsidRPr="00D14874">
        <w:rPr>
          <w:rFonts w:ascii="Arial" w:hAnsi="Arial" w:cs="Arial"/>
          <w:i/>
          <w:sz w:val="22"/>
          <w:szCs w:val="22"/>
        </w:rPr>
        <w:t>Likelihood</w:t>
      </w:r>
      <w:r w:rsidRPr="00D14874">
        <w:rPr>
          <w:rFonts w:ascii="Arial" w:hAnsi="Arial" w:cs="Arial"/>
          <w:sz w:val="22"/>
          <w:szCs w:val="22"/>
        </w:rPr>
        <w:t xml:space="preserve"> (Chart III) for the risk category being rated.  Then use Chart I to determine the level of risk.  </w:t>
      </w:r>
    </w:p>
    <w:p w14:paraId="11199DF6" w14:textId="77777777" w:rsidR="00D14874" w:rsidRPr="00D14874" w:rsidRDefault="00D14874" w:rsidP="00D14874">
      <w:pPr>
        <w:ind w:right="-72"/>
        <w:rPr>
          <w:rFonts w:ascii="Arial" w:hAnsi="Arial" w:cs="Arial"/>
          <w:sz w:val="22"/>
          <w:szCs w:val="22"/>
        </w:rPr>
      </w:pPr>
      <w:r w:rsidRPr="00D14874">
        <w:rPr>
          <w:rFonts w:ascii="Arial" w:hAnsi="Arial" w:cs="Arial"/>
          <w:sz w:val="22"/>
          <w:szCs w:val="22"/>
        </w:rPr>
        <w:t xml:space="preserve"> </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1439"/>
        <w:gridCol w:w="1565"/>
        <w:gridCol w:w="1461"/>
        <w:gridCol w:w="1648"/>
        <w:gridCol w:w="1464"/>
        <w:gridCol w:w="1206"/>
        <w:gridCol w:w="1229"/>
      </w:tblGrid>
      <w:tr w:rsidR="00D14874" w:rsidRPr="00D14874" w14:paraId="50B64397" w14:textId="77777777" w:rsidTr="00947498">
        <w:trPr>
          <w:gridBefore w:val="1"/>
          <w:wBefore w:w="7" w:type="dxa"/>
          <w:trHeight w:val="377"/>
          <w:jc w:val="center"/>
        </w:trPr>
        <w:tc>
          <w:tcPr>
            <w:tcW w:w="10012" w:type="dxa"/>
            <w:gridSpan w:val="7"/>
            <w:vAlign w:val="center"/>
          </w:tcPr>
          <w:p w14:paraId="1ECD9ABF" w14:textId="77777777" w:rsidR="00D14874" w:rsidRPr="00D14874" w:rsidRDefault="00D14874" w:rsidP="00D14874">
            <w:pPr>
              <w:jc w:val="center"/>
              <w:rPr>
                <w:rFonts w:ascii="Arial" w:hAnsi="Arial" w:cs="Arial"/>
                <w:b/>
                <w:sz w:val="22"/>
                <w:szCs w:val="22"/>
              </w:rPr>
            </w:pPr>
            <w:r w:rsidRPr="00D14874">
              <w:rPr>
                <w:rFonts w:ascii="Arial" w:hAnsi="Arial" w:cs="Arial"/>
                <w:b/>
                <w:sz w:val="22"/>
                <w:szCs w:val="22"/>
              </w:rPr>
              <w:t>CHART I - RISK LEVEL ASSESSMENT</w:t>
            </w:r>
          </w:p>
        </w:tc>
      </w:tr>
      <w:tr w:rsidR="00D14874" w:rsidRPr="00D14874" w14:paraId="0D179032" w14:textId="77777777" w:rsidTr="00947498">
        <w:trPr>
          <w:gridBefore w:val="1"/>
          <w:wBefore w:w="7" w:type="dxa"/>
          <w:trHeight w:val="350"/>
          <w:jc w:val="center"/>
        </w:trPr>
        <w:tc>
          <w:tcPr>
            <w:tcW w:w="1434" w:type="dxa"/>
            <w:vMerge w:val="restart"/>
            <w:vAlign w:val="center"/>
          </w:tcPr>
          <w:p w14:paraId="7B4BC627" w14:textId="77777777" w:rsidR="00D14874" w:rsidRPr="00D14874" w:rsidRDefault="00D14874" w:rsidP="00D14874">
            <w:pPr>
              <w:jc w:val="center"/>
              <w:rPr>
                <w:rFonts w:ascii="Arial" w:hAnsi="Arial" w:cs="Arial"/>
                <w:b/>
                <w:sz w:val="22"/>
                <w:szCs w:val="22"/>
              </w:rPr>
            </w:pPr>
            <w:r w:rsidRPr="00D14874">
              <w:rPr>
                <w:rFonts w:ascii="Arial" w:hAnsi="Arial" w:cs="Arial"/>
                <w:b/>
                <w:sz w:val="22"/>
                <w:szCs w:val="22"/>
              </w:rPr>
              <w:t>Likelihood</w:t>
            </w:r>
          </w:p>
          <w:p w14:paraId="24FDBF41" w14:textId="77777777" w:rsidR="00D14874" w:rsidRPr="00D14874" w:rsidRDefault="00D14874" w:rsidP="00D14874">
            <w:pPr>
              <w:jc w:val="center"/>
              <w:rPr>
                <w:rFonts w:ascii="Arial" w:hAnsi="Arial" w:cs="Arial"/>
                <w:b/>
                <w:sz w:val="22"/>
                <w:szCs w:val="22"/>
              </w:rPr>
            </w:pPr>
            <w:r w:rsidRPr="00D14874">
              <w:rPr>
                <w:rFonts w:ascii="Arial" w:hAnsi="Arial" w:cs="Arial"/>
                <w:b/>
                <w:sz w:val="22"/>
                <w:szCs w:val="22"/>
              </w:rPr>
              <w:t>Of</w:t>
            </w:r>
          </w:p>
          <w:p w14:paraId="359EE878" w14:textId="77777777" w:rsidR="00D14874" w:rsidRPr="00D14874" w:rsidRDefault="00D14874" w:rsidP="00D14874">
            <w:pPr>
              <w:jc w:val="center"/>
              <w:rPr>
                <w:rFonts w:ascii="Arial" w:hAnsi="Arial" w:cs="Arial"/>
                <w:b/>
                <w:sz w:val="22"/>
                <w:szCs w:val="22"/>
              </w:rPr>
            </w:pPr>
            <w:r w:rsidRPr="00D14874">
              <w:rPr>
                <w:rFonts w:ascii="Arial" w:hAnsi="Arial" w:cs="Arial"/>
                <w:b/>
                <w:sz w:val="22"/>
                <w:szCs w:val="22"/>
              </w:rPr>
              <w:t>Occurrence</w:t>
            </w:r>
          </w:p>
        </w:tc>
        <w:tc>
          <w:tcPr>
            <w:tcW w:w="8578" w:type="dxa"/>
            <w:gridSpan w:val="6"/>
            <w:vAlign w:val="center"/>
          </w:tcPr>
          <w:p w14:paraId="2C4924DA" w14:textId="77777777" w:rsidR="00D14874" w:rsidRPr="00D14874" w:rsidRDefault="00D14874" w:rsidP="00D14874">
            <w:pPr>
              <w:rPr>
                <w:rFonts w:ascii="Arial" w:hAnsi="Arial" w:cs="Arial"/>
                <w:b/>
                <w:sz w:val="22"/>
                <w:szCs w:val="22"/>
              </w:rPr>
            </w:pPr>
            <w:r w:rsidRPr="00D14874">
              <w:rPr>
                <w:rFonts w:ascii="Arial" w:hAnsi="Arial" w:cs="Arial"/>
                <w:b/>
                <w:sz w:val="22"/>
                <w:szCs w:val="22"/>
              </w:rPr>
              <w:t xml:space="preserve">                                             Impact Severity</w:t>
            </w:r>
          </w:p>
        </w:tc>
      </w:tr>
      <w:tr w:rsidR="00D14874" w:rsidRPr="00D14874" w14:paraId="2350AEF1" w14:textId="77777777" w:rsidTr="00947498">
        <w:trPr>
          <w:gridBefore w:val="1"/>
          <w:wBefore w:w="7" w:type="dxa"/>
          <w:trHeight w:val="455"/>
          <w:jc w:val="center"/>
        </w:trPr>
        <w:tc>
          <w:tcPr>
            <w:tcW w:w="1434" w:type="dxa"/>
            <w:vMerge/>
          </w:tcPr>
          <w:p w14:paraId="5C038F33" w14:textId="77777777" w:rsidR="00D14874" w:rsidRPr="00D14874" w:rsidRDefault="00D14874" w:rsidP="00D14874">
            <w:pPr>
              <w:rPr>
                <w:rFonts w:ascii="Arial" w:hAnsi="Arial" w:cs="Arial"/>
                <w:b/>
                <w:sz w:val="22"/>
                <w:szCs w:val="22"/>
              </w:rPr>
            </w:pPr>
          </w:p>
        </w:tc>
        <w:tc>
          <w:tcPr>
            <w:tcW w:w="1566" w:type="dxa"/>
            <w:shd w:val="clear" w:color="auto" w:fill="BFBFBF"/>
            <w:vAlign w:val="center"/>
          </w:tcPr>
          <w:p w14:paraId="0F998AD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Insignificant</w:t>
            </w:r>
          </w:p>
        </w:tc>
        <w:tc>
          <w:tcPr>
            <w:tcW w:w="1462" w:type="dxa"/>
            <w:shd w:val="clear" w:color="auto" w:fill="BFBFBF"/>
            <w:vAlign w:val="center"/>
          </w:tcPr>
          <w:p w14:paraId="107048DA"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Minor</w:t>
            </w:r>
          </w:p>
        </w:tc>
        <w:tc>
          <w:tcPr>
            <w:tcW w:w="1650" w:type="dxa"/>
            <w:shd w:val="clear" w:color="auto" w:fill="BFBFBF"/>
            <w:vAlign w:val="center"/>
          </w:tcPr>
          <w:p w14:paraId="3EA79881"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Significant</w:t>
            </w:r>
          </w:p>
        </w:tc>
        <w:tc>
          <w:tcPr>
            <w:tcW w:w="1465" w:type="dxa"/>
            <w:shd w:val="clear" w:color="auto" w:fill="BFBFBF"/>
            <w:vAlign w:val="center"/>
          </w:tcPr>
          <w:p w14:paraId="3E926761"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Damaging</w:t>
            </w:r>
          </w:p>
        </w:tc>
        <w:tc>
          <w:tcPr>
            <w:tcW w:w="1206" w:type="dxa"/>
            <w:shd w:val="clear" w:color="auto" w:fill="BFBFBF"/>
            <w:vAlign w:val="center"/>
          </w:tcPr>
          <w:p w14:paraId="1194B7E7"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Serious</w:t>
            </w:r>
          </w:p>
        </w:tc>
        <w:tc>
          <w:tcPr>
            <w:tcW w:w="1229" w:type="dxa"/>
            <w:shd w:val="clear" w:color="auto" w:fill="BFBFBF"/>
            <w:vAlign w:val="center"/>
          </w:tcPr>
          <w:p w14:paraId="115FCD39"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Critical</w:t>
            </w:r>
          </w:p>
        </w:tc>
      </w:tr>
      <w:tr w:rsidR="00D14874" w:rsidRPr="00D14874" w14:paraId="26C9E360" w14:textId="77777777" w:rsidTr="00947498">
        <w:trPr>
          <w:gridBefore w:val="1"/>
          <w:wBefore w:w="7" w:type="dxa"/>
          <w:trHeight w:val="431"/>
          <w:jc w:val="center"/>
        </w:trPr>
        <w:tc>
          <w:tcPr>
            <w:tcW w:w="1434" w:type="dxa"/>
            <w:shd w:val="clear" w:color="auto" w:fill="BFBFBF"/>
            <w:vAlign w:val="center"/>
          </w:tcPr>
          <w:p w14:paraId="695425F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Negligible</w:t>
            </w:r>
          </w:p>
        </w:tc>
        <w:tc>
          <w:tcPr>
            <w:tcW w:w="1566" w:type="dxa"/>
            <w:vAlign w:val="center"/>
          </w:tcPr>
          <w:p w14:paraId="5C4193CD"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462" w:type="dxa"/>
            <w:vAlign w:val="center"/>
          </w:tcPr>
          <w:p w14:paraId="5AD01136"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650" w:type="dxa"/>
            <w:vAlign w:val="center"/>
          </w:tcPr>
          <w:p w14:paraId="7B313A7A"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465" w:type="dxa"/>
            <w:vAlign w:val="center"/>
          </w:tcPr>
          <w:p w14:paraId="2A9D4FCF"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206" w:type="dxa"/>
            <w:vAlign w:val="center"/>
          </w:tcPr>
          <w:p w14:paraId="700B8AD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229" w:type="dxa"/>
            <w:vAlign w:val="center"/>
          </w:tcPr>
          <w:p w14:paraId="05DA67B9"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r>
      <w:tr w:rsidR="00D14874" w:rsidRPr="00D14874" w14:paraId="266A19F2" w14:textId="77777777" w:rsidTr="00947498">
        <w:trPr>
          <w:gridBefore w:val="1"/>
          <w:wBefore w:w="7" w:type="dxa"/>
          <w:trHeight w:val="431"/>
          <w:jc w:val="center"/>
        </w:trPr>
        <w:tc>
          <w:tcPr>
            <w:tcW w:w="1434" w:type="dxa"/>
            <w:shd w:val="clear" w:color="auto" w:fill="BFBFBF"/>
            <w:vAlign w:val="center"/>
          </w:tcPr>
          <w:p w14:paraId="2A249213"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Very Low</w:t>
            </w:r>
          </w:p>
        </w:tc>
        <w:tc>
          <w:tcPr>
            <w:tcW w:w="1566" w:type="dxa"/>
            <w:vAlign w:val="center"/>
          </w:tcPr>
          <w:p w14:paraId="58049F3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462" w:type="dxa"/>
            <w:vAlign w:val="center"/>
          </w:tcPr>
          <w:p w14:paraId="445D09A6"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650" w:type="dxa"/>
            <w:vAlign w:val="center"/>
          </w:tcPr>
          <w:p w14:paraId="40480B22"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465" w:type="dxa"/>
            <w:vAlign w:val="center"/>
          </w:tcPr>
          <w:p w14:paraId="26DFEB6C"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206" w:type="dxa"/>
            <w:vAlign w:val="center"/>
          </w:tcPr>
          <w:p w14:paraId="7757606D"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Moderate</w:t>
            </w:r>
          </w:p>
        </w:tc>
        <w:tc>
          <w:tcPr>
            <w:tcW w:w="1229" w:type="dxa"/>
            <w:vAlign w:val="center"/>
          </w:tcPr>
          <w:p w14:paraId="6E1B3FC3"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Moderate</w:t>
            </w:r>
          </w:p>
        </w:tc>
      </w:tr>
      <w:tr w:rsidR="00D14874" w:rsidRPr="00D14874" w14:paraId="542939ED" w14:textId="77777777" w:rsidTr="00947498">
        <w:trPr>
          <w:trHeight w:val="359"/>
          <w:jc w:val="center"/>
        </w:trPr>
        <w:tc>
          <w:tcPr>
            <w:tcW w:w="1441" w:type="dxa"/>
            <w:gridSpan w:val="2"/>
            <w:shd w:val="clear" w:color="auto" w:fill="BFBFBF"/>
            <w:vAlign w:val="center"/>
          </w:tcPr>
          <w:p w14:paraId="4F72275D"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566" w:type="dxa"/>
            <w:vAlign w:val="center"/>
          </w:tcPr>
          <w:p w14:paraId="695CFB71"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462" w:type="dxa"/>
            <w:vAlign w:val="center"/>
          </w:tcPr>
          <w:p w14:paraId="2F27040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650" w:type="dxa"/>
            <w:vAlign w:val="center"/>
          </w:tcPr>
          <w:p w14:paraId="06D2628E"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Moderate</w:t>
            </w:r>
          </w:p>
        </w:tc>
        <w:tc>
          <w:tcPr>
            <w:tcW w:w="1465" w:type="dxa"/>
            <w:vAlign w:val="center"/>
          </w:tcPr>
          <w:p w14:paraId="501B852D"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Moderate</w:t>
            </w:r>
          </w:p>
        </w:tc>
        <w:tc>
          <w:tcPr>
            <w:tcW w:w="1206" w:type="dxa"/>
            <w:vAlign w:val="center"/>
          </w:tcPr>
          <w:p w14:paraId="4AD0F3E7"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229" w:type="dxa"/>
            <w:vAlign w:val="center"/>
          </w:tcPr>
          <w:p w14:paraId="4D29B59E"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r>
      <w:tr w:rsidR="00D14874" w:rsidRPr="00D14874" w14:paraId="03DA3768" w14:textId="77777777" w:rsidTr="00947498">
        <w:trPr>
          <w:gridBefore w:val="1"/>
          <w:wBefore w:w="7" w:type="dxa"/>
          <w:trHeight w:val="431"/>
          <w:jc w:val="center"/>
        </w:trPr>
        <w:tc>
          <w:tcPr>
            <w:tcW w:w="1434" w:type="dxa"/>
            <w:shd w:val="clear" w:color="auto" w:fill="BFBFBF"/>
            <w:vAlign w:val="center"/>
          </w:tcPr>
          <w:p w14:paraId="4CA0168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Medium</w:t>
            </w:r>
          </w:p>
        </w:tc>
        <w:tc>
          <w:tcPr>
            <w:tcW w:w="1566" w:type="dxa"/>
            <w:vAlign w:val="center"/>
          </w:tcPr>
          <w:p w14:paraId="348D4CA7"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462" w:type="dxa"/>
            <w:vAlign w:val="center"/>
          </w:tcPr>
          <w:p w14:paraId="2BC27611"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650" w:type="dxa"/>
            <w:vAlign w:val="center"/>
          </w:tcPr>
          <w:p w14:paraId="5E382405"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Moderate</w:t>
            </w:r>
          </w:p>
        </w:tc>
        <w:tc>
          <w:tcPr>
            <w:tcW w:w="1465" w:type="dxa"/>
            <w:vAlign w:val="center"/>
          </w:tcPr>
          <w:p w14:paraId="2ACAB659"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206" w:type="dxa"/>
            <w:vAlign w:val="center"/>
          </w:tcPr>
          <w:p w14:paraId="3DC248B4"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229" w:type="dxa"/>
            <w:vAlign w:val="center"/>
          </w:tcPr>
          <w:p w14:paraId="616BE91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r>
      <w:tr w:rsidR="00D14874" w:rsidRPr="00D14874" w14:paraId="5204BD6F" w14:textId="77777777" w:rsidTr="00947498">
        <w:trPr>
          <w:gridBefore w:val="1"/>
          <w:wBefore w:w="7" w:type="dxa"/>
          <w:trHeight w:val="341"/>
          <w:jc w:val="center"/>
        </w:trPr>
        <w:tc>
          <w:tcPr>
            <w:tcW w:w="1434" w:type="dxa"/>
            <w:shd w:val="clear" w:color="auto" w:fill="BFBFBF"/>
            <w:vAlign w:val="center"/>
          </w:tcPr>
          <w:p w14:paraId="658C43A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566" w:type="dxa"/>
            <w:vAlign w:val="center"/>
          </w:tcPr>
          <w:p w14:paraId="510C6AAF"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462" w:type="dxa"/>
            <w:vAlign w:val="center"/>
          </w:tcPr>
          <w:p w14:paraId="64658F91"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Moderate</w:t>
            </w:r>
          </w:p>
        </w:tc>
        <w:tc>
          <w:tcPr>
            <w:tcW w:w="1650" w:type="dxa"/>
            <w:vAlign w:val="center"/>
          </w:tcPr>
          <w:p w14:paraId="27419F45"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465" w:type="dxa"/>
            <w:vAlign w:val="center"/>
          </w:tcPr>
          <w:p w14:paraId="1B87DBA2"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206" w:type="dxa"/>
            <w:vAlign w:val="center"/>
          </w:tcPr>
          <w:p w14:paraId="460186DB"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229" w:type="dxa"/>
            <w:vAlign w:val="center"/>
          </w:tcPr>
          <w:p w14:paraId="439F5175"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r>
      <w:tr w:rsidR="00D14874" w:rsidRPr="00D14874" w14:paraId="10E0F815" w14:textId="77777777" w:rsidTr="00947498">
        <w:trPr>
          <w:gridBefore w:val="1"/>
          <w:wBefore w:w="7" w:type="dxa"/>
          <w:trHeight w:val="359"/>
          <w:jc w:val="center"/>
        </w:trPr>
        <w:tc>
          <w:tcPr>
            <w:tcW w:w="1434" w:type="dxa"/>
            <w:shd w:val="clear" w:color="auto" w:fill="BFBFBF"/>
            <w:vAlign w:val="center"/>
          </w:tcPr>
          <w:p w14:paraId="1AE4338D"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Very High</w:t>
            </w:r>
          </w:p>
        </w:tc>
        <w:tc>
          <w:tcPr>
            <w:tcW w:w="1566" w:type="dxa"/>
            <w:vAlign w:val="center"/>
          </w:tcPr>
          <w:p w14:paraId="3F9A7519"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462" w:type="dxa"/>
            <w:vAlign w:val="center"/>
          </w:tcPr>
          <w:p w14:paraId="238B27DC"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Moderate</w:t>
            </w:r>
          </w:p>
        </w:tc>
        <w:tc>
          <w:tcPr>
            <w:tcW w:w="1650" w:type="dxa"/>
            <w:vAlign w:val="center"/>
          </w:tcPr>
          <w:p w14:paraId="2C84EC5A"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465" w:type="dxa"/>
            <w:vAlign w:val="center"/>
          </w:tcPr>
          <w:p w14:paraId="026C12D7"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206" w:type="dxa"/>
            <w:vAlign w:val="center"/>
          </w:tcPr>
          <w:p w14:paraId="071B62EE"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229" w:type="dxa"/>
            <w:vAlign w:val="center"/>
          </w:tcPr>
          <w:p w14:paraId="40AEE701"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r>
      <w:tr w:rsidR="00D14874" w:rsidRPr="00D14874" w14:paraId="358BC7FD" w14:textId="77777777" w:rsidTr="00947498">
        <w:trPr>
          <w:gridBefore w:val="1"/>
          <w:wBefore w:w="7" w:type="dxa"/>
          <w:trHeight w:val="431"/>
          <w:jc w:val="center"/>
        </w:trPr>
        <w:tc>
          <w:tcPr>
            <w:tcW w:w="1434" w:type="dxa"/>
            <w:shd w:val="clear" w:color="auto" w:fill="BFBFBF"/>
            <w:vAlign w:val="center"/>
          </w:tcPr>
          <w:p w14:paraId="219A094F"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Extreme</w:t>
            </w:r>
          </w:p>
        </w:tc>
        <w:tc>
          <w:tcPr>
            <w:tcW w:w="1566" w:type="dxa"/>
            <w:vAlign w:val="center"/>
          </w:tcPr>
          <w:p w14:paraId="2D63E0B6"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Low</w:t>
            </w:r>
          </w:p>
        </w:tc>
        <w:tc>
          <w:tcPr>
            <w:tcW w:w="1462" w:type="dxa"/>
            <w:vAlign w:val="center"/>
          </w:tcPr>
          <w:p w14:paraId="6BB064C1"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Moderate</w:t>
            </w:r>
          </w:p>
        </w:tc>
        <w:tc>
          <w:tcPr>
            <w:tcW w:w="1650" w:type="dxa"/>
            <w:vAlign w:val="center"/>
          </w:tcPr>
          <w:p w14:paraId="69163A9E"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465" w:type="dxa"/>
            <w:vAlign w:val="center"/>
          </w:tcPr>
          <w:p w14:paraId="14D3BF01"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206" w:type="dxa"/>
            <w:vAlign w:val="center"/>
          </w:tcPr>
          <w:p w14:paraId="1A5349A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c>
          <w:tcPr>
            <w:tcW w:w="1229" w:type="dxa"/>
            <w:vAlign w:val="center"/>
          </w:tcPr>
          <w:p w14:paraId="083D5FAB"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High</w:t>
            </w:r>
          </w:p>
        </w:tc>
      </w:tr>
    </w:tbl>
    <w:p w14:paraId="4E83F679" w14:textId="77777777" w:rsidR="00D14874" w:rsidRPr="00D14874" w:rsidRDefault="00D14874" w:rsidP="00D14874">
      <w:pPr>
        <w:ind w:right="-72"/>
        <w:rPr>
          <w:rFonts w:ascii="Arial" w:hAnsi="Arial" w:cs="Arial"/>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9000"/>
      </w:tblGrid>
      <w:tr w:rsidR="00D14874" w:rsidRPr="00D14874" w14:paraId="2A89DD0D" w14:textId="77777777" w:rsidTr="00947498">
        <w:trPr>
          <w:trHeight w:val="422"/>
        </w:trPr>
        <w:tc>
          <w:tcPr>
            <w:tcW w:w="10800" w:type="dxa"/>
            <w:gridSpan w:val="2"/>
            <w:vAlign w:val="center"/>
          </w:tcPr>
          <w:p w14:paraId="37935753" w14:textId="77777777" w:rsidR="00D14874" w:rsidRPr="00D14874" w:rsidRDefault="00D14874" w:rsidP="00D14874">
            <w:pPr>
              <w:jc w:val="center"/>
              <w:rPr>
                <w:rFonts w:ascii="Arial" w:hAnsi="Arial" w:cs="Arial"/>
                <w:b/>
                <w:sz w:val="16"/>
                <w:szCs w:val="16"/>
              </w:rPr>
            </w:pPr>
            <w:r w:rsidRPr="00D14874">
              <w:rPr>
                <w:rFonts w:ascii="Arial" w:hAnsi="Arial" w:cs="Arial"/>
                <w:b/>
                <w:sz w:val="22"/>
                <w:szCs w:val="22"/>
              </w:rPr>
              <w:t>CHART II - IMPACT SEVERITY LEVELS</w:t>
            </w:r>
          </w:p>
        </w:tc>
      </w:tr>
      <w:tr w:rsidR="00D14874" w:rsidRPr="00D14874" w14:paraId="2D85EF12" w14:textId="77777777" w:rsidTr="00947498">
        <w:trPr>
          <w:trHeight w:val="432"/>
        </w:trPr>
        <w:tc>
          <w:tcPr>
            <w:tcW w:w="1800" w:type="dxa"/>
            <w:vAlign w:val="center"/>
          </w:tcPr>
          <w:p w14:paraId="05F203A8" w14:textId="77777777" w:rsidR="00D14874" w:rsidRPr="00D14874" w:rsidRDefault="00D14874" w:rsidP="00D14874">
            <w:pPr>
              <w:jc w:val="center"/>
              <w:rPr>
                <w:rFonts w:ascii="Arial" w:hAnsi="Arial" w:cs="Arial"/>
                <w:b/>
                <w:sz w:val="16"/>
                <w:szCs w:val="16"/>
              </w:rPr>
            </w:pPr>
            <w:r w:rsidRPr="00D14874">
              <w:rPr>
                <w:rFonts w:ascii="Arial" w:hAnsi="Arial" w:cs="Arial"/>
                <w:b/>
                <w:sz w:val="22"/>
                <w:szCs w:val="22"/>
              </w:rPr>
              <w:t>Severity</w:t>
            </w:r>
          </w:p>
        </w:tc>
        <w:tc>
          <w:tcPr>
            <w:tcW w:w="9000" w:type="dxa"/>
            <w:vAlign w:val="center"/>
          </w:tcPr>
          <w:p w14:paraId="308305E5" w14:textId="77777777" w:rsidR="00D14874" w:rsidRPr="00D14874" w:rsidRDefault="00D14874" w:rsidP="00D14874">
            <w:pPr>
              <w:jc w:val="center"/>
              <w:rPr>
                <w:rFonts w:ascii="Arial" w:hAnsi="Arial" w:cs="Arial"/>
                <w:b/>
                <w:sz w:val="16"/>
                <w:szCs w:val="16"/>
              </w:rPr>
            </w:pPr>
            <w:r w:rsidRPr="00D14874">
              <w:rPr>
                <w:rFonts w:ascii="Arial" w:hAnsi="Arial" w:cs="Arial"/>
                <w:b/>
                <w:sz w:val="22"/>
                <w:szCs w:val="22"/>
              </w:rPr>
              <w:t>Description</w:t>
            </w:r>
          </w:p>
        </w:tc>
      </w:tr>
      <w:tr w:rsidR="00D14874" w:rsidRPr="00D14874" w14:paraId="46B734AD" w14:textId="77777777" w:rsidTr="00947498">
        <w:trPr>
          <w:trHeight w:val="506"/>
        </w:trPr>
        <w:tc>
          <w:tcPr>
            <w:tcW w:w="1800" w:type="dxa"/>
            <w:shd w:val="clear" w:color="auto" w:fill="BFBFBF"/>
            <w:vAlign w:val="center"/>
          </w:tcPr>
          <w:p w14:paraId="063146F5"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Insignificant</w:t>
            </w:r>
          </w:p>
        </w:tc>
        <w:tc>
          <w:tcPr>
            <w:tcW w:w="9000" w:type="dxa"/>
            <w:vAlign w:val="center"/>
          </w:tcPr>
          <w:p w14:paraId="2B7BC812" w14:textId="77777777" w:rsidR="00D14874" w:rsidRPr="00D14874" w:rsidRDefault="00D14874" w:rsidP="00D14874">
            <w:pPr>
              <w:rPr>
                <w:rFonts w:ascii="Arial" w:hAnsi="Arial" w:cs="Arial"/>
                <w:sz w:val="22"/>
                <w:szCs w:val="22"/>
              </w:rPr>
            </w:pPr>
            <w:r w:rsidRPr="00D14874">
              <w:rPr>
                <w:rFonts w:ascii="Arial" w:hAnsi="Arial" w:cs="Arial"/>
                <w:sz w:val="22"/>
                <w:szCs w:val="22"/>
              </w:rPr>
              <w:t>Almost no effect if the threat is realized and the vulnerability is exploited.</w:t>
            </w:r>
          </w:p>
        </w:tc>
      </w:tr>
      <w:tr w:rsidR="00D14874" w:rsidRPr="00D14874" w14:paraId="1DD14A62" w14:textId="77777777" w:rsidTr="00947498">
        <w:trPr>
          <w:trHeight w:val="506"/>
        </w:trPr>
        <w:tc>
          <w:tcPr>
            <w:tcW w:w="1800" w:type="dxa"/>
            <w:shd w:val="clear" w:color="auto" w:fill="BFBFBF"/>
            <w:vAlign w:val="center"/>
          </w:tcPr>
          <w:p w14:paraId="7D6CBE64"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Minor</w:t>
            </w:r>
          </w:p>
        </w:tc>
        <w:tc>
          <w:tcPr>
            <w:tcW w:w="9000" w:type="dxa"/>
            <w:vAlign w:val="center"/>
          </w:tcPr>
          <w:p w14:paraId="4FD0F199" w14:textId="77777777" w:rsidR="00D14874" w:rsidRPr="00D14874" w:rsidRDefault="00D14874" w:rsidP="00D14874">
            <w:pPr>
              <w:rPr>
                <w:rFonts w:ascii="Arial" w:hAnsi="Arial" w:cs="Arial"/>
                <w:sz w:val="22"/>
                <w:szCs w:val="22"/>
              </w:rPr>
            </w:pPr>
            <w:r w:rsidRPr="00D14874">
              <w:rPr>
                <w:rFonts w:ascii="Arial" w:hAnsi="Arial" w:cs="Arial"/>
                <w:sz w:val="22"/>
                <w:szCs w:val="22"/>
              </w:rPr>
              <w:t>Only a minor effect is realized, and minimal effort will be required to restore operations.</w:t>
            </w:r>
          </w:p>
        </w:tc>
      </w:tr>
      <w:tr w:rsidR="00D14874" w:rsidRPr="00D14874" w14:paraId="604A468A" w14:textId="77777777" w:rsidTr="00947498">
        <w:trPr>
          <w:trHeight w:val="656"/>
        </w:trPr>
        <w:tc>
          <w:tcPr>
            <w:tcW w:w="1800" w:type="dxa"/>
            <w:shd w:val="clear" w:color="auto" w:fill="BFBFBF"/>
            <w:vAlign w:val="center"/>
          </w:tcPr>
          <w:p w14:paraId="011F563D"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Significant</w:t>
            </w:r>
          </w:p>
        </w:tc>
        <w:tc>
          <w:tcPr>
            <w:tcW w:w="9000" w:type="dxa"/>
            <w:vAlign w:val="center"/>
          </w:tcPr>
          <w:p w14:paraId="2A3C2453" w14:textId="77777777" w:rsidR="00D14874" w:rsidRPr="00D14874" w:rsidRDefault="00D14874" w:rsidP="00D14874">
            <w:pPr>
              <w:rPr>
                <w:rFonts w:ascii="Arial" w:hAnsi="Arial" w:cs="Arial"/>
                <w:sz w:val="22"/>
                <w:szCs w:val="22"/>
              </w:rPr>
            </w:pPr>
            <w:r w:rsidRPr="00D14874">
              <w:rPr>
                <w:rFonts w:ascii="Arial" w:hAnsi="Arial" w:cs="Arial"/>
                <w:sz w:val="22"/>
                <w:szCs w:val="22"/>
              </w:rPr>
              <w:t>Some negligible yet tangible harm is realized, which will require some expenditure of resources to restore operations.</w:t>
            </w:r>
          </w:p>
        </w:tc>
      </w:tr>
      <w:tr w:rsidR="00D14874" w:rsidRPr="00D14874" w14:paraId="4855603F" w14:textId="77777777" w:rsidTr="00947498">
        <w:trPr>
          <w:trHeight w:val="629"/>
        </w:trPr>
        <w:tc>
          <w:tcPr>
            <w:tcW w:w="1800" w:type="dxa"/>
            <w:shd w:val="clear" w:color="auto" w:fill="BFBFBF"/>
            <w:vAlign w:val="center"/>
          </w:tcPr>
          <w:p w14:paraId="1C80FEEE"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Damaging</w:t>
            </w:r>
          </w:p>
        </w:tc>
        <w:tc>
          <w:tcPr>
            <w:tcW w:w="9000" w:type="dxa"/>
            <w:vAlign w:val="center"/>
          </w:tcPr>
          <w:p w14:paraId="1BC0A3B7" w14:textId="77777777" w:rsidR="00D14874" w:rsidRPr="00D14874" w:rsidRDefault="00D14874" w:rsidP="00D14874">
            <w:pPr>
              <w:rPr>
                <w:rFonts w:ascii="Arial" w:hAnsi="Arial" w:cs="Arial"/>
                <w:sz w:val="22"/>
                <w:szCs w:val="22"/>
              </w:rPr>
            </w:pPr>
            <w:r w:rsidRPr="00D14874">
              <w:rPr>
                <w:rFonts w:ascii="Arial" w:hAnsi="Arial" w:cs="Arial"/>
                <w:sz w:val="22"/>
                <w:szCs w:val="22"/>
              </w:rPr>
              <w:t>Damage to the reputation of the Bank, and/or notable loss of confidence by bank stakeholders, which will require the expenditure of significant resources to repair.</w:t>
            </w:r>
          </w:p>
        </w:tc>
      </w:tr>
      <w:tr w:rsidR="00D14874" w:rsidRPr="00D14874" w14:paraId="0B05317A" w14:textId="77777777" w:rsidTr="00947498">
        <w:trPr>
          <w:trHeight w:val="611"/>
        </w:trPr>
        <w:tc>
          <w:tcPr>
            <w:tcW w:w="1800" w:type="dxa"/>
            <w:shd w:val="clear" w:color="auto" w:fill="BFBFBF"/>
            <w:vAlign w:val="center"/>
          </w:tcPr>
          <w:p w14:paraId="0E5A36A5"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Serious</w:t>
            </w:r>
          </w:p>
        </w:tc>
        <w:tc>
          <w:tcPr>
            <w:tcW w:w="9000" w:type="dxa"/>
            <w:vAlign w:val="center"/>
          </w:tcPr>
          <w:p w14:paraId="35EEFEAE" w14:textId="77777777" w:rsidR="00D14874" w:rsidRPr="00D14874" w:rsidRDefault="00D14874" w:rsidP="00D14874">
            <w:pPr>
              <w:rPr>
                <w:rFonts w:ascii="Arial" w:hAnsi="Arial" w:cs="Arial"/>
                <w:sz w:val="22"/>
                <w:szCs w:val="22"/>
              </w:rPr>
            </w:pPr>
            <w:r w:rsidRPr="00D14874">
              <w:rPr>
                <w:rFonts w:ascii="Arial" w:hAnsi="Arial" w:cs="Arial"/>
                <w:sz w:val="22"/>
                <w:szCs w:val="22"/>
              </w:rPr>
              <w:t xml:space="preserve">Considerable business disruption and/or loss of customer/business partner confidence. </w:t>
            </w:r>
          </w:p>
          <w:p w14:paraId="2CAD2F88" w14:textId="77777777" w:rsidR="00D14874" w:rsidRPr="00D14874" w:rsidRDefault="00D14874" w:rsidP="00D14874">
            <w:pPr>
              <w:rPr>
                <w:rFonts w:ascii="Arial" w:hAnsi="Arial" w:cs="Arial"/>
                <w:sz w:val="22"/>
                <w:szCs w:val="22"/>
              </w:rPr>
            </w:pPr>
            <w:r w:rsidRPr="00D14874">
              <w:rPr>
                <w:rFonts w:ascii="Arial" w:hAnsi="Arial" w:cs="Arial"/>
                <w:sz w:val="22"/>
                <w:szCs w:val="22"/>
              </w:rPr>
              <w:t>May result in the compromise of services, or a large amount of customer/bank information.</w:t>
            </w:r>
          </w:p>
        </w:tc>
      </w:tr>
      <w:tr w:rsidR="00D14874" w:rsidRPr="00D14874" w14:paraId="31DDACF8" w14:textId="77777777" w:rsidTr="00947498">
        <w:trPr>
          <w:trHeight w:val="629"/>
        </w:trPr>
        <w:tc>
          <w:tcPr>
            <w:tcW w:w="1800" w:type="dxa"/>
            <w:shd w:val="clear" w:color="auto" w:fill="BFBFBF"/>
            <w:vAlign w:val="center"/>
          </w:tcPr>
          <w:p w14:paraId="6147CA38" w14:textId="77777777" w:rsidR="00D14874" w:rsidRPr="00D14874" w:rsidRDefault="00D14874" w:rsidP="00D14874">
            <w:pPr>
              <w:jc w:val="center"/>
              <w:rPr>
                <w:rFonts w:ascii="Arial" w:hAnsi="Arial" w:cs="Arial"/>
                <w:sz w:val="22"/>
                <w:szCs w:val="22"/>
              </w:rPr>
            </w:pPr>
            <w:r w:rsidRPr="00D14874">
              <w:rPr>
                <w:rFonts w:ascii="Arial" w:hAnsi="Arial" w:cs="Arial"/>
                <w:sz w:val="22"/>
                <w:szCs w:val="22"/>
              </w:rPr>
              <w:t>Critical</w:t>
            </w:r>
          </w:p>
        </w:tc>
        <w:tc>
          <w:tcPr>
            <w:tcW w:w="9000" w:type="dxa"/>
            <w:vAlign w:val="center"/>
          </w:tcPr>
          <w:p w14:paraId="1A25A954" w14:textId="77777777" w:rsidR="00D14874" w:rsidRPr="00D14874" w:rsidRDefault="00D14874" w:rsidP="00D14874">
            <w:pPr>
              <w:rPr>
                <w:rFonts w:ascii="Arial" w:hAnsi="Arial" w:cs="Arial"/>
                <w:sz w:val="22"/>
                <w:szCs w:val="22"/>
              </w:rPr>
            </w:pPr>
            <w:r w:rsidRPr="00D14874">
              <w:rPr>
                <w:rFonts w:ascii="Arial" w:hAnsi="Arial" w:cs="Arial"/>
                <w:sz w:val="22"/>
                <w:szCs w:val="22"/>
              </w:rPr>
              <w:t xml:space="preserve">Extended outage or permanent closure, requiring operations to resume in a hot site environment.  May result in complete compromise of services or confidential information. </w:t>
            </w:r>
          </w:p>
        </w:tc>
      </w:tr>
    </w:tbl>
    <w:p w14:paraId="20417B70" w14:textId="77777777" w:rsidR="00D14874" w:rsidRPr="00D14874" w:rsidRDefault="00D14874" w:rsidP="00D14874">
      <w:pPr>
        <w:ind w:left="180"/>
        <w:jc w:val="center"/>
        <w:rPr>
          <w:rFonts w:ascii="Arial" w:hAnsi="Arial" w:cs="Arial"/>
          <w:b/>
        </w:rPr>
      </w:pPr>
    </w:p>
    <w:tbl>
      <w:tblPr>
        <w:tblW w:w="7290"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03"/>
        <w:gridCol w:w="5587"/>
      </w:tblGrid>
      <w:tr w:rsidR="00D14874" w:rsidRPr="00D14874" w14:paraId="4A85A116" w14:textId="77777777" w:rsidTr="00947498">
        <w:trPr>
          <w:trHeight w:val="377"/>
        </w:trPr>
        <w:tc>
          <w:tcPr>
            <w:tcW w:w="7290" w:type="dxa"/>
            <w:gridSpan w:val="2"/>
            <w:vAlign w:val="center"/>
          </w:tcPr>
          <w:p w14:paraId="0B294D42" w14:textId="77777777" w:rsidR="00D14874" w:rsidRPr="00D14874" w:rsidRDefault="00D14874" w:rsidP="00D14874">
            <w:pPr>
              <w:ind w:left="180"/>
              <w:jc w:val="center"/>
              <w:rPr>
                <w:rFonts w:ascii="Arial" w:hAnsi="Arial" w:cs="Arial"/>
                <w:b/>
                <w:sz w:val="16"/>
                <w:szCs w:val="16"/>
              </w:rPr>
            </w:pPr>
            <w:r w:rsidRPr="00D14874">
              <w:rPr>
                <w:rFonts w:ascii="Arial" w:hAnsi="Arial" w:cs="Arial"/>
                <w:b/>
                <w:sz w:val="22"/>
                <w:szCs w:val="22"/>
              </w:rPr>
              <w:t>CHART III - LIKELIHOOD OF OCCURRENCE</w:t>
            </w:r>
          </w:p>
        </w:tc>
      </w:tr>
      <w:tr w:rsidR="00D14874" w:rsidRPr="00D14874" w14:paraId="7F6D3AE0" w14:textId="77777777" w:rsidTr="00947498">
        <w:trPr>
          <w:trHeight w:val="431"/>
        </w:trPr>
        <w:tc>
          <w:tcPr>
            <w:tcW w:w="1703" w:type="dxa"/>
            <w:vAlign w:val="center"/>
          </w:tcPr>
          <w:p w14:paraId="0381A71B" w14:textId="77777777" w:rsidR="00D14874" w:rsidRPr="00D14874" w:rsidRDefault="00D14874" w:rsidP="00D14874">
            <w:pPr>
              <w:ind w:left="187"/>
              <w:jc w:val="center"/>
              <w:rPr>
                <w:rFonts w:ascii="Arial" w:hAnsi="Arial" w:cs="Arial"/>
                <w:b/>
                <w:sz w:val="22"/>
                <w:szCs w:val="22"/>
              </w:rPr>
            </w:pPr>
            <w:r w:rsidRPr="00D14874">
              <w:rPr>
                <w:rFonts w:ascii="Arial" w:hAnsi="Arial" w:cs="Arial"/>
                <w:b/>
                <w:sz w:val="22"/>
                <w:szCs w:val="22"/>
              </w:rPr>
              <w:t>Likelihood</w:t>
            </w:r>
          </w:p>
        </w:tc>
        <w:tc>
          <w:tcPr>
            <w:tcW w:w="5587" w:type="dxa"/>
            <w:vAlign w:val="center"/>
          </w:tcPr>
          <w:p w14:paraId="1FF46FAE" w14:textId="77777777" w:rsidR="00D14874" w:rsidRPr="00D14874" w:rsidRDefault="00D14874" w:rsidP="00D14874">
            <w:pPr>
              <w:ind w:left="187"/>
              <w:jc w:val="center"/>
              <w:rPr>
                <w:rFonts w:ascii="Arial" w:hAnsi="Arial" w:cs="Arial"/>
                <w:b/>
                <w:sz w:val="22"/>
                <w:szCs w:val="22"/>
              </w:rPr>
            </w:pPr>
            <w:r w:rsidRPr="00D14874">
              <w:rPr>
                <w:rFonts w:ascii="Arial" w:hAnsi="Arial" w:cs="Arial"/>
                <w:b/>
                <w:sz w:val="22"/>
                <w:szCs w:val="22"/>
              </w:rPr>
              <w:t>Description</w:t>
            </w:r>
          </w:p>
        </w:tc>
      </w:tr>
      <w:tr w:rsidR="00D14874" w:rsidRPr="00D14874" w14:paraId="3081E5BC" w14:textId="77777777" w:rsidTr="00947498">
        <w:trPr>
          <w:trHeight w:val="341"/>
        </w:trPr>
        <w:tc>
          <w:tcPr>
            <w:tcW w:w="1703" w:type="dxa"/>
            <w:shd w:val="clear" w:color="auto" w:fill="BFBFBF"/>
            <w:vAlign w:val="center"/>
          </w:tcPr>
          <w:p w14:paraId="1C78AD52"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Negligible</w:t>
            </w:r>
          </w:p>
        </w:tc>
        <w:tc>
          <w:tcPr>
            <w:tcW w:w="5587" w:type="dxa"/>
            <w:vAlign w:val="center"/>
          </w:tcPr>
          <w:p w14:paraId="5C9DE5B3"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Unlikely to occur</w:t>
            </w:r>
          </w:p>
        </w:tc>
      </w:tr>
      <w:tr w:rsidR="00D14874" w:rsidRPr="00D14874" w14:paraId="5E52E63A" w14:textId="77777777" w:rsidTr="00947498">
        <w:trPr>
          <w:trHeight w:val="359"/>
        </w:trPr>
        <w:tc>
          <w:tcPr>
            <w:tcW w:w="1703" w:type="dxa"/>
            <w:shd w:val="clear" w:color="auto" w:fill="BFBFBF"/>
            <w:vAlign w:val="center"/>
          </w:tcPr>
          <w:p w14:paraId="025731BF"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Very Low</w:t>
            </w:r>
          </w:p>
        </w:tc>
        <w:tc>
          <w:tcPr>
            <w:tcW w:w="5587" w:type="dxa"/>
            <w:vAlign w:val="center"/>
          </w:tcPr>
          <w:p w14:paraId="661C14B2"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Likely to occur two/three times every five years</w:t>
            </w:r>
          </w:p>
        </w:tc>
      </w:tr>
      <w:tr w:rsidR="00D14874" w:rsidRPr="00D14874" w14:paraId="530FDF93" w14:textId="77777777" w:rsidTr="00947498">
        <w:trPr>
          <w:trHeight w:val="341"/>
        </w:trPr>
        <w:tc>
          <w:tcPr>
            <w:tcW w:w="1703" w:type="dxa"/>
            <w:shd w:val="clear" w:color="auto" w:fill="BFBFBF"/>
            <w:vAlign w:val="center"/>
          </w:tcPr>
          <w:p w14:paraId="2D572FB0"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Low</w:t>
            </w:r>
          </w:p>
        </w:tc>
        <w:tc>
          <w:tcPr>
            <w:tcW w:w="5587" w:type="dxa"/>
            <w:vAlign w:val="center"/>
          </w:tcPr>
          <w:p w14:paraId="04CD4D01"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Likely to occur once every year or less</w:t>
            </w:r>
          </w:p>
        </w:tc>
      </w:tr>
      <w:tr w:rsidR="00D14874" w:rsidRPr="00D14874" w14:paraId="5E169445" w14:textId="77777777" w:rsidTr="00947498">
        <w:trPr>
          <w:trHeight w:val="359"/>
        </w:trPr>
        <w:tc>
          <w:tcPr>
            <w:tcW w:w="1703" w:type="dxa"/>
            <w:shd w:val="clear" w:color="auto" w:fill="BFBFBF"/>
            <w:vAlign w:val="center"/>
          </w:tcPr>
          <w:p w14:paraId="2300FDCB"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Medium</w:t>
            </w:r>
          </w:p>
        </w:tc>
        <w:tc>
          <w:tcPr>
            <w:tcW w:w="5587" w:type="dxa"/>
            <w:vAlign w:val="center"/>
          </w:tcPr>
          <w:p w14:paraId="78152418"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Likely to occur once every six months or less</w:t>
            </w:r>
          </w:p>
        </w:tc>
      </w:tr>
      <w:tr w:rsidR="00D14874" w:rsidRPr="00D14874" w14:paraId="19B4BD49" w14:textId="77777777" w:rsidTr="00947498">
        <w:trPr>
          <w:trHeight w:val="341"/>
        </w:trPr>
        <w:tc>
          <w:tcPr>
            <w:tcW w:w="1703" w:type="dxa"/>
            <w:shd w:val="clear" w:color="auto" w:fill="BFBFBF"/>
            <w:vAlign w:val="center"/>
          </w:tcPr>
          <w:p w14:paraId="2342F61B"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High</w:t>
            </w:r>
          </w:p>
        </w:tc>
        <w:tc>
          <w:tcPr>
            <w:tcW w:w="5587" w:type="dxa"/>
            <w:vAlign w:val="center"/>
          </w:tcPr>
          <w:p w14:paraId="5AE837E2"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Likely to occur once a month</w:t>
            </w:r>
          </w:p>
        </w:tc>
      </w:tr>
      <w:tr w:rsidR="00D14874" w:rsidRPr="00D14874" w14:paraId="12473E4B" w14:textId="77777777" w:rsidTr="00947498">
        <w:trPr>
          <w:trHeight w:val="359"/>
        </w:trPr>
        <w:tc>
          <w:tcPr>
            <w:tcW w:w="1703" w:type="dxa"/>
            <w:shd w:val="clear" w:color="auto" w:fill="BFBFBF"/>
            <w:vAlign w:val="center"/>
          </w:tcPr>
          <w:p w14:paraId="45CE4760"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Very High</w:t>
            </w:r>
          </w:p>
        </w:tc>
        <w:tc>
          <w:tcPr>
            <w:tcW w:w="5587" w:type="dxa"/>
            <w:vAlign w:val="center"/>
          </w:tcPr>
          <w:p w14:paraId="15950E03"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Likely to occur multiple times a month</w:t>
            </w:r>
          </w:p>
        </w:tc>
      </w:tr>
      <w:tr w:rsidR="00D14874" w:rsidRPr="00D14874" w14:paraId="5C40E718" w14:textId="77777777" w:rsidTr="00947498">
        <w:trPr>
          <w:trHeight w:val="341"/>
        </w:trPr>
        <w:tc>
          <w:tcPr>
            <w:tcW w:w="1703" w:type="dxa"/>
            <w:shd w:val="clear" w:color="auto" w:fill="BFBFBF"/>
            <w:vAlign w:val="center"/>
          </w:tcPr>
          <w:p w14:paraId="522D755F"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Extreme</w:t>
            </w:r>
          </w:p>
        </w:tc>
        <w:tc>
          <w:tcPr>
            <w:tcW w:w="5587" w:type="dxa"/>
            <w:vAlign w:val="center"/>
          </w:tcPr>
          <w:p w14:paraId="34FCAB35" w14:textId="77777777" w:rsidR="00D14874" w:rsidRPr="00D14874" w:rsidRDefault="00D14874" w:rsidP="00D14874">
            <w:pPr>
              <w:ind w:left="187"/>
              <w:jc w:val="center"/>
              <w:rPr>
                <w:rFonts w:ascii="Arial" w:hAnsi="Arial" w:cs="Arial"/>
                <w:sz w:val="22"/>
                <w:szCs w:val="22"/>
              </w:rPr>
            </w:pPr>
            <w:r w:rsidRPr="00D14874">
              <w:rPr>
                <w:rFonts w:ascii="Arial" w:hAnsi="Arial" w:cs="Arial"/>
                <w:sz w:val="22"/>
                <w:szCs w:val="22"/>
              </w:rPr>
              <w:t>Likely to occur multiple times a day</w:t>
            </w:r>
          </w:p>
        </w:tc>
      </w:tr>
    </w:tbl>
    <w:p w14:paraId="40EE7190" w14:textId="77777777" w:rsidR="00D14874" w:rsidRPr="00D14874" w:rsidRDefault="00D14874" w:rsidP="00D14874">
      <w:pPr>
        <w:rPr>
          <w:rFonts w:ascii="Arial" w:hAnsi="Arial" w:cs="Arial"/>
          <w:b/>
          <w:sz w:val="22"/>
          <w:szCs w:val="22"/>
        </w:rPr>
        <w:sectPr w:rsidR="00D14874" w:rsidRPr="00D14874" w:rsidSect="00B23F18">
          <w:type w:val="continuous"/>
          <w:pgSz w:w="12240" w:h="15840" w:code="1"/>
          <w:pgMar w:top="576" w:right="576" w:bottom="432" w:left="720" w:header="432" w:footer="144" w:gutter="0"/>
          <w:cols w:space="720"/>
          <w:docGrid w:linePitch="360"/>
        </w:sectPr>
      </w:pPr>
    </w:p>
    <w:tbl>
      <w:tblPr>
        <w:tblpPr w:leftFromText="187" w:rightFromText="187" w:vertAnchor="page" w:tblpX="-135" w:tblpY="721"/>
        <w:tblOverlap w:val="neve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65"/>
        <w:gridCol w:w="3510"/>
        <w:gridCol w:w="3640"/>
      </w:tblGrid>
      <w:tr w:rsidR="00D14874" w:rsidRPr="00D14874" w14:paraId="237EEF61" w14:textId="77777777" w:rsidTr="00A7759F">
        <w:trPr>
          <w:trHeight w:val="1250"/>
        </w:trPr>
        <w:tc>
          <w:tcPr>
            <w:tcW w:w="4365" w:type="dxa"/>
            <w:vAlign w:val="center"/>
          </w:tcPr>
          <w:p w14:paraId="16878618" w14:textId="77777777" w:rsidR="00D14874" w:rsidRPr="00D14874" w:rsidRDefault="00D14874" w:rsidP="00A7759F">
            <w:pPr>
              <w:ind w:left="-210" w:hanging="90"/>
              <w:jc w:val="center"/>
              <w:rPr>
                <w:rFonts w:ascii="Arial" w:hAnsi="Arial" w:cs="Arial"/>
                <w:b/>
                <w:sz w:val="22"/>
                <w:szCs w:val="22"/>
              </w:rPr>
            </w:pPr>
            <w:r w:rsidRPr="00D14874">
              <w:rPr>
                <w:rFonts w:ascii="Arial" w:hAnsi="Arial" w:cs="Arial"/>
                <w:b/>
                <w:sz w:val="22"/>
                <w:szCs w:val="22"/>
              </w:rPr>
              <w:t>CATEGORIES OF RISK</w:t>
            </w:r>
          </w:p>
        </w:tc>
        <w:tc>
          <w:tcPr>
            <w:tcW w:w="3510" w:type="dxa"/>
            <w:vAlign w:val="center"/>
          </w:tcPr>
          <w:p w14:paraId="683005F5" w14:textId="77777777" w:rsidR="00D14874" w:rsidRPr="00D14874" w:rsidRDefault="00D14874" w:rsidP="00A7759F">
            <w:pPr>
              <w:jc w:val="center"/>
              <w:rPr>
                <w:rFonts w:ascii="Arial" w:hAnsi="Arial" w:cs="Arial"/>
                <w:b/>
                <w:sz w:val="22"/>
                <w:szCs w:val="22"/>
              </w:rPr>
            </w:pPr>
            <w:r w:rsidRPr="00D14874">
              <w:rPr>
                <w:rFonts w:ascii="Arial" w:hAnsi="Arial" w:cs="Arial"/>
                <w:b/>
                <w:sz w:val="22"/>
                <w:szCs w:val="22"/>
              </w:rPr>
              <w:t>RISK LEVEL</w:t>
            </w:r>
          </w:p>
          <w:p w14:paraId="15616D89" w14:textId="77777777" w:rsidR="00D14874" w:rsidRPr="00D14874" w:rsidRDefault="00D14874" w:rsidP="00A7759F">
            <w:pPr>
              <w:jc w:val="center"/>
              <w:rPr>
                <w:rFonts w:ascii="Arial" w:hAnsi="Arial" w:cs="Arial"/>
                <w:b/>
                <w:sz w:val="22"/>
                <w:szCs w:val="22"/>
              </w:rPr>
            </w:pPr>
            <w:r w:rsidRPr="00D14874">
              <w:rPr>
                <w:rFonts w:ascii="Arial" w:hAnsi="Arial" w:cs="Arial"/>
                <w:b/>
                <w:sz w:val="22"/>
                <w:szCs w:val="22"/>
              </w:rPr>
              <w:t>Low - Moderate - High - NA</w:t>
            </w:r>
          </w:p>
          <w:p w14:paraId="55B3D8F7" w14:textId="77777777" w:rsidR="00D14874" w:rsidRPr="00D14874" w:rsidRDefault="00D14874" w:rsidP="00A7759F">
            <w:pPr>
              <w:jc w:val="center"/>
              <w:rPr>
                <w:rFonts w:ascii="Arial" w:hAnsi="Arial" w:cs="Arial"/>
                <w:sz w:val="20"/>
                <w:szCs w:val="20"/>
              </w:rPr>
            </w:pPr>
            <w:r w:rsidRPr="00D14874">
              <w:rPr>
                <w:rFonts w:ascii="Arial" w:hAnsi="Arial" w:cs="Arial"/>
                <w:sz w:val="20"/>
                <w:szCs w:val="20"/>
              </w:rPr>
              <w:t>(New and Existing Vendors)</w:t>
            </w:r>
          </w:p>
        </w:tc>
        <w:tc>
          <w:tcPr>
            <w:tcW w:w="3640" w:type="dxa"/>
            <w:vAlign w:val="center"/>
          </w:tcPr>
          <w:p w14:paraId="6F975E69" w14:textId="77777777" w:rsidR="00D14874" w:rsidRPr="00D14874" w:rsidRDefault="00D14874" w:rsidP="00A7759F">
            <w:pPr>
              <w:jc w:val="center"/>
              <w:rPr>
                <w:rFonts w:ascii="Arial" w:hAnsi="Arial" w:cs="Arial"/>
                <w:b/>
                <w:sz w:val="22"/>
                <w:szCs w:val="22"/>
              </w:rPr>
            </w:pPr>
            <w:r w:rsidRPr="00D14874">
              <w:rPr>
                <w:rFonts w:ascii="Arial" w:hAnsi="Arial" w:cs="Arial"/>
                <w:b/>
                <w:sz w:val="22"/>
                <w:szCs w:val="22"/>
              </w:rPr>
              <w:t>DIRECTION OF RISK</w:t>
            </w:r>
          </w:p>
          <w:p w14:paraId="1D0DC474" w14:textId="77777777" w:rsidR="00D14874" w:rsidRPr="00D14874" w:rsidRDefault="00D14874" w:rsidP="00A7759F">
            <w:pPr>
              <w:jc w:val="center"/>
              <w:rPr>
                <w:rFonts w:ascii="Arial" w:hAnsi="Arial" w:cs="Arial"/>
                <w:b/>
                <w:sz w:val="22"/>
                <w:szCs w:val="22"/>
              </w:rPr>
            </w:pPr>
            <w:r w:rsidRPr="00D14874">
              <w:rPr>
                <w:rFonts w:ascii="Arial" w:hAnsi="Arial" w:cs="Arial"/>
                <w:b/>
                <w:sz w:val="22"/>
                <w:szCs w:val="22"/>
              </w:rPr>
              <w:t>Decreasing - Stable - Increasing</w:t>
            </w:r>
          </w:p>
          <w:p w14:paraId="3436559B" w14:textId="77777777" w:rsidR="00D14874" w:rsidRPr="00D14874" w:rsidRDefault="00D14874" w:rsidP="00A7759F">
            <w:pPr>
              <w:jc w:val="center"/>
              <w:rPr>
                <w:rFonts w:ascii="Arial" w:hAnsi="Arial" w:cs="Arial"/>
                <w:sz w:val="20"/>
                <w:szCs w:val="20"/>
              </w:rPr>
            </w:pPr>
            <w:r w:rsidRPr="00D14874">
              <w:rPr>
                <w:rFonts w:ascii="Arial" w:hAnsi="Arial" w:cs="Arial"/>
                <w:sz w:val="20"/>
                <w:szCs w:val="20"/>
              </w:rPr>
              <w:t>(Existing Vendors Only)</w:t>
            </w:r>
          </w:p>
        </w:tc>
      </w:tr>
      <w:tr w:rsidR="00D14874" w:rsidRPr="00D14874" w14:paraId="69E80D23" w14:textId="77777777" w:rsidTr="00A7759F">
        <w:trPr>
          <w:trHeight w:val="1421"/>
        </w:trPr>
        <w:tc>
          <w:tcPr>
            <w:tcW w:w="4365" w:type="dxa"/>
          </w:tcPr>
          <w:p w14:paraId="57B22E6F" w14:textId="77777777" w:rsidR="00D14874" w:rsidRPr="00D14874" w:rsidRDefault="00D14874" w:rsidP="00A7759F">
            <w:pPr>
              <w:rPr>
                <w:rFonts w:ascii="Arial" w:hAnsi="Arial" w:cs="Arial"/>
                <w:b/>
                <w:sz w:val="22"/>
                <w:szCs w:val="22"/>
              </w:rPr>
            </w:pPr>
          </w:p>
          <w:p w14:paraId="69AC3C20" w14:textId="77777777" w:rsidR="00D14874" w:rsidRPr="00D14874" w:rsidRDefault="00D14874" w:rsidP="00A7759F">
            <w:pPr>
              <w:rPr>
                <w:rFonts w:ascii="Arial" w:hAnsi="Arial" w:cs="Arial"/>
                <w:sz w:val="22"/>
                <w:szCs w:val="22"/>
              </w:rPr>
            </w:pPr>
            <w:r w:rsidRPr="00D14874">
              <w:rPr>
                <w:rFonts w:ascii="Arial" w:hAnsi="Arial" w:cs="Arial"/>
                <w:b/>
                <w:sz w:val="22"/>
                <w:szCs w:val="22"/>
              </w:rPr>
              <w:t xml:space="preserve">CREDIT RISK – </w:t>
            </w:r>
            <w:r w:rsidRPr="00D14874">
              <w:rPr>
                <w:rFonts w:ascii="Arial" w:hAnsi="Arial" w:cs="Arial"/>
                <w:sz w:val="22"/>
                <w:szCs w:val="22"/>
              </w:rPr>
              <w:t>Arises when the vendor fails to meet its obligations according to agreed-upon terms.</w:t>
            </w:r>
          </w:p>
          <w:p w14:paraId="0F8B95BC" w14:textId="77777777" w:rsidR="00D14874" w:rsidRPr="00D14874" w:rsidRDefault="00D14874" w:rsidP="00A7759F">
            <w:pPr>
              <w:rPr>
                <w:rFonts w:ascii="Arial" w:hAnsi="Arial" w:cs="Arial"/>
                <w:b/>
                <w:sz w:val="16"/>
                <w:szCs w:val="16"/>
              </w:rPr>
            </w:pPr>
          </w:p>
        </w:tc>
        <w:tc>
          <w:tcPr>
            <w:tcW w:w="3510" w:type="dxa"/>
          </w:tcPr>
          <w:p w14:paraId="78FBF54E" w14:textId="77777777" w:rsidR="00D14874" w:rsidRPr="00D14874" w:rsidRDefault="00D14874" w:rsidP="00A7759F">
            <w:pPr>
              <w:rPr>
                <w:rFonts w:ascii="Arial" w:hAnsi="Arial" w:cs="Arial"/>
                <w:b/>
                <w:sz w:val="22"/>
                <w:szCs w:val="22"/>
              </w:rPr>
            </w:pPr>
          </w:p>
        </w:tc>
        <w:tc>
          <w:tcPr>
            <w:tcW w:w="3640" w:type="dxa"/>
          </w:tcPr>
          <w:p w14:paraId="74FEB163" w14:textId="77777777" w:rsidR="00D14874" w:rsidRPr="00D14874" w:rsidRDefault="00D14874" w:rsidP="00A7759F">
            <w:pPr>
              <w:rPr>
                <w:rFonts w:ascii="Arial" w:hAnsi="Arial" w:cs="Arial"/>
                <w:b/>
                <w:sz w:val="22"/>
                <w:szCs w:val="22"/>
              </w:rPr>
            </w:pPr>
          </w:p>
        </w:tc>
      </w:tr>
      <w:tr w:rsidR="00D14874" w:rsidRPr="00D14874" w14:paraId="17F9FCF2" w14:textId="77777777" w:rsidTr="00A7759F">
        <w:trPr>
          <w:trHeight w:val="1511"/>
        </w:trPr>
        <w:tc>
          <w:tcPr>
            <w:tcW w:w="4365" w:type="dxa"/>
          </w:tcPr>
          <w:p w14:paraId="064CE065" w14:textId="77777777" w:rsidR="00D14874" w:rsidRPr="00D14874" w:rsidRDefault="00D14874" w:rsidP="00A7759F">
            <w:pPr>
              <w:rPr>
                <w:rFonts w:ascii="Arial" w:hAnsi="Arial" w:cs="Arial"/>
                <w:b/>
                <w:sz w:val="22"/>
                <w:szCs w:val="22"/>
              </w:rPr>
            </w:pPr>
          </w:p>
          <w:p w14:paraId="4E492CA7" w14:textId="77777777" w:rsidR="00D14874" w:rsidRPr="00D14874" w:rsidRDefault="00D14874" w:rsidP="00A7759F">
            <w:pPr>
              <w:rPr>
                <w:rFonts w:ascii="Arial" w:hAnsi="Arial" w:cs="Arial"/>
                <w:sz w:val="22"/>
                <w:szCs w:val="22"/>
              </w:rPr>
            </w:pPr>
            <w:r w:rsidRPr="00D14874">
              <w:rPr>
                <w:rFonts w:ascii="Arial" w:hAnsi="Arial" w:cs="Arial"/>
                <w:b/>
                <w:sz w:val="22"/>
                <w:szCs w:val="22"/>
              </w:rPr>
              <w:t xml:space="preserve">MARKET RISK – </w:t>
            </w:r>
            <w:r w:rsidRPr="00D14874">
              <w:rPr>
                <w:rFonts w:ascii="Arial" w:hAnsi="Arial" w:cs="Arial"/>
                <w:sz w:val="22"/>
                <w:szCs w:val="22"/>
              </w:rPr>
              <w:t>Arises when an adverse change occurs in market rates or the vendor’s price, which impacts the services provided.</w:t>
            </w:r>
          </w:p>
          <w:p w14:paraId="6842D1B7" w14:textId="77777777" w:rsidR="00D14874" w:rsidRPr="00D14874" w:rsidRDefault="00D14874" w:rsidP="00A7759F">
            <w:pPr>
              <w:rPr>
                <w:rFonts w:ascii="Arial" w:hAnsi="Arial" w:cs="Arial"/>
                <w:b/>
                <w:sz w:val="16"/>
                <w:szCs w:val="16"/>
              </w:rPr>
            </w:pPr>
          </w:p>
        </w:tc>
        <w:tc>
          <w:tcPr>
            <w:tcW w:w="3510" w:type="dxa"/>
          </w:tcPr>
          <w:p w14:paraId="66744B85" w14:textId="77777777" w:rsidR="00D14874" w:rsidRPr="00D14874" w:rsidRDefault="00D14874" w:rsidP="00A7759F">
            <w:pPr>
              <w:ind w:left="150"/>
              <w:rPr>
                <w:rFonts w:ascii="Arial" w:hAnsi="Arial" w:cs="Arial"/>
                <w:b/>
                <w:sz w:val="22"/>
                <w:szCs w:val="22"/>
              </w:rPr>
            </w:pPr>
          </w:p>
        </w:tc>
        <w:tc>
          <w:tcPr>
            <w:tcW w:w="3640" w:type="dxa"/>
          </w:tcPr>
          <w:p w14:paraId="168218B1" w14:textId="77777777" w:rsidR="00D14874" w:rsidRPr="00D14874" w:rsidRDefault="00D14874" w:rsidP="00A7759F">
            <w:pPr>
              <w:rPr>
                <w:rFonts w:ascii="Arial" w:hAnsi="Arial" w:cs="Arial"/>
                <w:b/>
                <w:sz w:val="22"/>
                <w:szCs w:val="22"/>
              </w:rPr>
            </w:pPr>
          </w:p>
        </w:tc>
      </w:tr>
      <w:tr w:rsidR="00D14874" w:rsidRPr="00D14874" w14:paraId="71BCCC19" w14:textId="77777777" w:rsidTr="00A7759F">
        <w:trPr>
          <w:trHeight w:val="1538"/>
        </w:trPr>
        <w:tc>
          <w:tcPr>
            <w:tcW w:w="4365" w:type="dxa"/>
          </w:tcPr>
          <w:p w14:paraId="6C697DB1" w14:textId="77777777" w:rsidR="00D14874" w:rsidRPr="00D14874" w:rsidRDefault="00D14874" w:rsidP="00A7759F">
            <w:pPr>
              <w:rPr>
                <w:rFonts w:ascii="Arial" w:hAnsi="Arial" w:cs="Arial"/>
                <w:b/>
                <w:sz w:val="22"/>
                <w:szCs w:val="22"/>
              </w:rPr>
            </w:pPr>
          </w:p>
          <w:p w14:paraId="2607EED5" w14:textId="77777777" w:rsidR="00D14874" w:rsidRPr="00D14874" w:rsidRDefault="00D14874" w:rsidP="00A7759F">
            <w:pPr>
              <w:rPr>
                <w:rFonts w:ascii="Arial" w:hAnsi="Arial" w:cs="Arial"/>
                <w:sz w:val="22"/>
                <w:szCs w:val="22"/>
              </w:rPr>
            </w:pPr>
            <w:r w:rsidRPr="00D14874">
              <w:rPr>
                <w:rFonts w:ascii="Arial" w:hAnsi="Arial" w:cs="Arial"/>
                <w:b/>
                <w:sz w:val="22"/>
                <w:szCs w:val="22"/>
              </w:rPr>
              <w:t xml:space="preserve">LIQUIDITY RISK – </w:t>
            </w:r>
            <w:r w:rsidRPr="00D14874">
              <w:rPr>
                <w:rFonts w:ascii="Arial" w:hAnsi="Arial" w:cs="Arial"/>
                <w:sz w:val="22"/>
                <w:szCs w:val="22"/>
              </w:rPr>
              <w:t>Arises when the vendor’s ability to provide services impacts the bank’s ability to meet financial obligations.</w:t>
            </w:r>
          </w:p>
          <w:p w14:paraId="19621ADA" w14:textId="77777777" w:rsidR="00D14874" w:rsidRPr="00D14874" w:rsidRDefault="00D14874" w:rsidP="00A7759F">
            <w:pPr>
              <w:rPr>
                <w:rFonts w:ascii="Arial" w:hAnsi="Arial" w:cs="Arial"/>
                <w:b/>
                <w:sz w:val="16"/>
                <w:szCs w:val="16"/>
              </w:rPr>
            </w:pPr>
          </w:p>
        </w:tc>
        <w:tc>
          <w:tcPr>
            <w:tcW w:w="3510" w:type="dxa"/>
          </w:tcPr>
          <w:p w14:paraId="63ACDCE2" w14:textId="77777777" w:rsidR="00D14874" w:rsidRPr="00D14874" w:rsidRDefault="00D14874" w:rsidP="00A7759F">
            <w:pPr>
              <w:rPr>
                <w:rFonts w:ascii="Arial" w:hAnsi="Arial" w:cs="Arial"/>
                <w:b/>
                <w:sz w:val="22"/>
                <w:szCs w:val="22"/>
              </w:rPr>
            </w:pPr>
          </w:p>
        </w:tc>
        <w:tc>
          <w:tcPr>
            <w:tcW w:w="3640" w:type="dxa"/>
          </w:tcPr>
          <w:p w14:paraId="79A2B313" w14:textId="77777777" w:rsidR="00D14874" w:rsidRPr="00D14874" w:rsidRDefault="00D14874" w:rsidP="00A7759F">
            <w:pPr>
              <w:rPr>
                <w:rFonts w:ascii="Arial" w:hAnsi="Arial" w:cs="Arial"/>
                <w:b/>
                <w:sz w:val="22"/>
                <w:szCs w:val="22"/>
              </w:rPr>
            </w:pPr>
          </w:p>
        </w:tc>
      </w:tr>
      <w:tr w:rsidR="00D14874" w:rsidRPr="00D14874" w14:paraId="5AAA9936" w14:textId="77777777" w:rsidTr="00A7759F">
        <w:trPr>
          <w:trHeight w:val="2600"/>
        </w:trPr>
        <w:tc>
          <w:tcPr>
            <w:tcW w:w="4365" w:type="dxa"/>
          </w:tcPr>
          <w:p w14:paraId="72EEC002" w14:textId="77777777" w:rsidR="00D14874" w:rsidRPr="00D14874" w:rsidRDefault="00D14874" w:rsidP="00A7759F">
            <w:pPr>
              <w:rPr>
                <w:rFonts w:ascii="Arial" w:hAnsi="Arial" w:cs="Arial"/>
                <w:b/>
                <w:sz w:val="22"/>
                <w:szCs w:val="22"/>
              </w:rPr>
            </w:pPr>
          </w:p>
          <w:p w14:paraId="4C490057" w14:textId="77777777" w:rsidR="00D14874" w:rsidRPr="00D14874" w:rsidRDefault="00D14874" w:rsidP="00A7759F">
            <w:pPr>
              <w:rPr>
                <w:rFonts w:ascii="Arial" w:hAnsi="Arial" w:cs="Arial"/>
                <w:sz w:val="22"/>
                <w:szCs w:val="22"/>
              </w:rPr>
            </w:pPr>
            <w:r w:rsidRPr="00D14874">
              <w:rPr>
                <w:rFonts w:ascii="Arial" w:hAnsi="Arial" w:cs="Arial"/>
                <w:b/>
                <w:sz w:val="22"/>
                <w:szCs w:val="22"/>
              </w:rPr>
              <w:t xml:space="preserve">STRATEGIC RISK - </w:t>
            </w:r>
            <w:r w:rsidRPr="00D14874">
              <w:rPr>
                <w:rFonts w:ascii="Arial" w:hAnsi="Arial" w:cs="Arial"/>
                <w:sz w:val="22"/>
                <w:szCs w:val="22"/>
              </w:rPr>
              <w:t>Arises when the bank’s decision to utilize this vendor, product or service, turns out to be improper or inappropriate, due to an inadequate risk assessment, insufficient knowledge of the product or business, or inconsistency with the bank’s goals or expected return on investment.</w:t>
            </w:r>
          </w:p>
          <w:p w14:paraId="279EEDF0" w14:textId="77777777" w:rsidR="00D14874" w:rsidRPr="00D14874" w:rsidRDefault="00D14874" w:rsidP="00A7759F">
            <w:pPr>
              <w:rPr>
                <w:rFonts w:ascii="Arial" w:hAnsi="Arial" w:cs="Arial"/>
                <w:sz w:val="16"/>
                <w:szCs w:val="16"/>
              </w:rPr>
            </w:pPr>
            <w:r w:rsidRPr="00D14874">
              <w:rPr>
                <w:rFonts w:ascii="Arial" w:hAnsi="Arial" w:cs="Arial"/>
                <w:sz w:val="22"/>
                <w:szCs w:val="22"/>
              </w:rPr>
              <w:t xml:space="preserve"> </w:t>
            </w:r>
          </w:p>
        </w:tc>
        <w:tc>
          <w:tcPr>
            <w:tcW w:w="3510" w:type="dxa"/>
          </w:tcPr>
          <w:p w14:paraId="171ACBFC" w14:textId="77777777" w:rsidR="00D14874" w:rsidRPr="00D14874" w:rsidRDefault="00D14874" w:rsidP="00A7759F">
            <w:pPr>
              <w:rPr>
                <w:rFonts w:ascii="Arial" w:hAnsi="Arial" w:cs="Arial"/>
                <w:b/>
                <w:sz w:val="22"/>
                <w:szCs w:val="22"/>
              </w:rPr>
            </w:pPr>
          </w:p>
        </w:tc>
        <w:tc>
          <w:tcPr>
            <w:tcW w:w="3640" w:type="dxa"/>
          </w:tcPr>
          <w:p w14:paraId="7A103412" w14:textId="77777777" w:rsidR="00D14874" w:rsidRPr="00D14874" w:rsidRDefault="00D14874" w:rsidP="00A7759F">
            <w:pPr>
              <w:rPr>
                <w:rFonts w:ascii="Arial" w:hAnsi="Arial" w:cs="Arial"/>
                <w:b/>
                <w:sz w:val="22"/>
                <w:szCs w:val="22"/>
              </w:rPr>
            </w:pPr>
          </w:p>
        </w:tc>
      </w:tr>
      <w:tr w:rsidR="00D14874" w:rsidRPr="00D14874" w14:paraId="3758E5E6" w14:textId="77777777" w:rsidTr="00A7759F">
        <w:trPr>
          <w:trHeight w:val="1655"/>
        </w:trPr>
        <w:tc>
          <w:tcPr>
            <w:tcW w:w="4365" w:type="dxa"/>
          </w:tcPr>
          <w:p w14:paraId="5DC4A46D" w14:textId="77777777" w:rsidR="00D14874" w:rsidRPr="00D14874" w:rsidRDefault="00D14874" w:rsidP="00A7759F">
            <w:pPr>
              <w:rPr>
                <w:rFonts w:ascii="Arial" w:hAnsi="Arial" w:cs="Arial"/>
                <w:b/>
                <w:sz w:val="22"/>
                <w:szCs w:val="22"/>
              </w:rPr>
            </w:pPr>
          </w:p>
          <w:p w14:paraId="5BE4D472" w14:textId="77777777" w:rsidR="00D14874" w:rsidRPr="00D14874" w:rsidRDefault="00D14874" w:rsidP="00A7759F">
            <w:pPr>
              <w:rPr>
                <w:rFonts w:ascii="Arial" w:hAnsi="Arial" w:cs="Arial"/>
                <w:sz w:val="22"/>
                <w:szCs w:val="22"/>
              </w:rPr>
            </w:pPr>
            <w:r w:rsidRPr="00D14874">
              <w:rPr>
                <w:rFonts w:ascii="Arial" w:hAnsi="Arial" w:cs="Arial"/>
                <w:b/>
                <w:sz w:val="22"/>
                <w:szCs w:val="22"/>
              </w:rPr>
              <w:t xml:space="preserve">OPERATIONAL RISK – </w:t>
            </w:r>
            <w:r w:rsidRPr="00D14874">
              <w:rPr>
                <w:rFonts w:ascii="Arial" w:hAnsi="Arial" w:cs="Arial"/>
                <w:sz w:val="22"/>
                <w:szCs w:val="22"/>
              </w:rPr>
              <w:t>Arises when the vendor is unable to deliver its product or provide its services, due to inadequate or failed processes, people or systems.</w:t>
            </w:r>
          </w:p>
          <w:p w14:paraId="74B6F400" w14:textId="77777777" w:rsidR="00D14874" w:rsidRPr="00D14874" w:rsidRDefault="00D14874" w:rsidP="00A7759F">
            <w:pPr>
              <w:rPr>
                <w:rFonts w:ascii="Arial" w:hAnsi="Arial" w:cs="Arial"/>
                <w:b/>
                <w:sz w:val="16"/>
                <w:szCs w:val="16"/>
              </w:rPr>
            </w:pPr>
          </w:p>
        </w:tc>
        <w:tc>
          <w:tcPr>
            <w:tcW w:w="3510" w:type="dxa"/>
          </w:tcPr>
          <w:p w14:paraId="29BB94FE" w14:textId="77777777" w:rsidR="00D14874" w:rsidRPr="00D14874" w:rsidRDefault="00D14874" w:rsidP="00A7759F">
            <w:pPr>
              <w:rPr>
                <w:rFonts w:ascii="Arial" w:hAnsi="Arial" w:cs="Arial"/>
                <w:b/>
                <w:sz w:val="22"/>
                <w:szCs w:val="22"/>
              </w:rPr>
            </w:pPr>
          </w:p>
        </w:tc>
        <w:tc>
          <w:tcPr>
            <w:tcW w:w="3640" w:type="dxa"/>
          </w:tcPr>
          <w:p w14:paraId="1C4FAAD1" w14:textId="77777777" w:rsidR="00D14874" w:rsidRPr="00D14874" w:rsidRDefault="00D14874" w:rsidP="00A7759F">
            <w:pPr>
              <w:rPr>
                <w:rFonts w:ascii="Arial" w:hAnsi="Arial" w:cs="Arial"/>
                <w:b/>
                <w:sz w:val="22"/>
                <w:szCs w:val="22"/>
              </w:rPr>
            </w:pPr>
          </w:p>
        </w:tc>
      </w:tr>
      <w:tr w:rsidR="00D14874" w:rsidRPr="00D14874" w14:paraId="7E491A0E" w14:textId="77777777" w:rsidTr="00A7759F">
        <w:trPr>
          <w:trHeight w:val="1700"/>
        </w:trPr>
        <w:tc>
          <w:tcPr>
            <w:tcW w:w="4365" w:type="dxa"/>
          </w:tcPr>
          <w:p w14:paraId="68787774" w14:textId="77777777" w:rsidR="00D14874" w:rsidRPr="00D14874" w:rsidRDefault="00D14874" w:rsidP="00A7759F">
            <w:pPr>
              <w:rPr>
                <w:rFonts w:ascii="Arial" w:hAnsi="Arial" w:cs="Arial"/>
                <w:b/>
                <w:sz w:val="22"/>
                <w:szCs w:val="22"/>
              </w:rPr>
            </w:pPr>
          </w:p>
          <w:p w14:paraId="708B813E" w14:textId="77777777" w:rsidR="00D14874" w:rsidRPr="00D14874" w:rsidRDefault="00D14874" w:rsidP="00A7759F">
            <w:pPr>
              <w:rPr>
                <w:rFonts w:ascii="Arial" w:hAnsi="Arial" w:cs="Arial"/>
                <w:sz w:val="22"/>
                <w:szCs w:val="22"/>
              </w:rPr>
            </w:pPr>
            <w:r w:rsidRPr="00D14874">
              <w:rPr>
                <w:rFonts w:ascii="Arial" w:hAnsi="Arial" w:cs="Arial"/>
                <w:b/>
                <w:sz w:val="22"/>
                <w:szCs w:val="22"/>
              </w:rPr>
              <w:t xml:space="preserve">COMPLIANCE RISK - </w:t>
            </w:r>
            <w:r w:rsidRPr="00D14874">
              <w:rPr>
                <w:rFonts w:ascii="Arial" w:hAnsi="Arial" w:cs="Arial"/>
                <w:sz w:val="22"/>
                <w:szCs w:val="22"/>
              </w:rPr>
              <w:t>Arises when the vendor’s operations violate regulations, laws, standards, or the bank’s prescribed policies and procedures.</w:t>
            </w:r>
          </w:p>
          <w:p w14:paraId="32EA1B24" w14:textId="77777777" w:rsidR="00D14874" w:rsidRPr="00D14874" w:rsidRDefault="00D14874" w:rsidP="00A7759F">
            <w:pPr>
              <w:rPr>
                <w:rFonts w:ascii="Arial" w:hAnsi="Arial" w:cs="Arial"/>
                <w:sz w:val="16"/>
                <w:szCs w:val="16"/>
              </w:rPr>
            </w:pPr>
          </w:p>
        </w:tc>
        <w:tc>
          <w:tcPr>
            <w:tcW w:w="3510" w:type="dxa"/>
          </w:tcPr>
          <w:p w14:paraId="136F489C" w14:textId="77777777" w:rsidR="00D14874" w:rsidRDefault="00D14874" w:rsidP="00A7759F">
            <w:pPr>
              <w:rPr>
                <w:rFonts w:ascii="Arial" w:hAnsi="Arial" w:cs="Arial"/>
                <w:b/>
                <w:sz w:val="22"/>
                <w:szCs w:val="22"/>
              </w:rPr>
            </w:pPr>
          </w:p>
          <w:p w14:paraId="5A1FF20B" w14:textId="5261F7E1" w:rsidR="000E40DB" w:rsidRPr="00D14874" w:rsidRDefault="000E40DB" w:rsidP="00A7759F">
            <w:pPr>
              <w:rPr>
                <w:rFonts w:ascii="Arial" w:hAnsi="Arial" w:cs="Arial"/>
                <w:b/>
                <w:sz w:val="22"/>
                <w:szCs w:val="22"/>
              </w:rPr>
            </w:pPr>
          </w:p>
        </w:tc>
        <w:tc>
          <w:tcPr>
            <w:tcW w:w="3640" w:type="dxa"/>
          </w:tcPr>
          <w:p w14:paraId="16957228" w14:textId="77777777" w:rsidR="00D14874" w:rsidRPr="00D14874" w:rsidRDefault="00D14874" w:rsidP="00A7759F">
            <w:pPr>
              <w:rPr>
                <w:rFonts w:ascii="Arial" w:hAnsi="Arial" w:cs="Arial"/>
                <w:b/>
                <w:sz w:val="22"/>
                <w:szCs w:val="22"/>
              </w:rPr>
            </w:pPr>
          </w:p>
        </w:tc>
      </w:tr>
      <w:tr w:rsidR="00D14874" w:rsidRPr="00D14874" w14:paraId="0CA6E06E" w14:textId="77777777" w:rsidTr="00A7759F">
        <w:trPr>
          <w:trHeight w:val="2033"/>
        </w:trPr>
        <w:tc>
          <w:tcPr>
            <w:tcW w:w="4365" w:type="dxa"/>
          </w:tcPr>
          <w:p w14:paraId="55798DC3" w14:textId="77777777" w:rsidR="00D14874" w:rsidRPr="00D14874" w:rsidRDefault="00D14874" w:rsidP="00A7759F">
            <w:pPr>
              <w:rPr>
                <w:rFonts w:ascii="Arial" w:hAnsi="Arial" w:cs="Arial"/>
                <w:b/>
                <w:sz w:val="22"/>
                <w:szCs w:val="22"/>
              </w:rPr>
            </w:pPr>
          </w:p>
          <w:p w14:paraId="3340434A" w14:textId="77777777" w:rsidR="00D14874" w:rsidRPr="00D14874" w:rsidRDefault="00D14874" w:rsidP="00A7759F">
            <w:pPr>
              <w:rPr>
                <w:rFonts w:ascii="Arial" w:hAnsi="Arial" w:cs="Arial"/>
                <w:sz w:val="22"/>
                <w:szCs w:val="22"/>
              </w:rPr>
            </w:pPr>
            <w:r w:rsidRPr="00D14874">
              <w:rPr>
                <w:rFonts w:ascii="Arial" w:hAnsi="Arial" w:cs="Arial"/>
                <w:b/>
                <w:sz w:val="22"/>
                <w:szCs w:val="22"/>
              </w:rPr>
              <w:t xml:space="preserve">REPUTATION RISK - </w:t>
            </w:r>
            <w:r w:rsidRPr="00D14874">
              <w:rPr>
                <w:rFonts w:ascii="Arial" w:hAnsi="Arial" w:cs="Arial"/>
                <w:sz w:val="22"/>
                <w:szCs w:val="22"/>
              </w:rPr>
              <w:t>Arises when the vendor’s service, products, or information breach elicits negative publicity, public scrutiny, or a negative perception of the bank, which could lead to costly litigation, or the loss of customers or revenue.</w:t>
            </w:r>
          </w:p>
          <w:p w14:paraId="4362325E" w14:textId="77777777" w:rsidR="00D14874" w:rsidRPr="00D14874" w:rsidRDefault="00D14874" w:rsidP="00A7759F">
            <w:pPr>
              <w:rPr>
                <w:rFonts w:ascii="Arial" w:hAnsi="Arial" w:cs="Arial"/>
                <w:sz w:val="16"/>
                <w:szCs w:val="16"/>
              </w:rPr>
            </w:pPr>
            <w:r w:rsidRPr="00D14874">
              <w:rPr>
                <w:rFonts w:ascii="Arial" w:hAnsi="Arial" w:cs="Arial"/>
                <w:sz w:val="22"/>
                <w:szCs w:val="22"/>
              </w:rPr>
              <w:t xml:space="preserve">   </w:t>
            </w:r>
          </w:p>
        </w:tc>
        <w:tc>
          <w:tcPr>
            <w:tcW w:w="3510" w:type="dxa"/>
          </w:tcPr>
          <w:p w14:paraId="29331ABD" w14:textId="77777777" w:rsidR="00D14874" w:rsidRPr="00D14874" w:rsidRDefault="00D14874" w:rsidP="00A7759F">
            <w:pPr>
              <w:rPr>
                <w:rFonts w:ascii="Arial" w:hAnsi="Arial" w:cs="Arial"/>
                <w:b/>
                <w:sz w:val="22"/>
                <w:szCs w:val="22"/>
              </w:rPr>
            </w:pPr>
          </w:p>
        </w:tc>
        <w:tc>
          <w:tcPr>
            <w:tcW w:w="3640" w:type="dxa"/>
          </w:tcPr>
          <w:p w14:paraId="28958F4A" w14:textId="77777777" w:rsidR="00D14874" w:rsidRPr="00D14874" w:rsidRDefault="00D14874" w:rsidP="00A7759F">
            <w:pPr>
              <w:rPr>
                <w:rFonts w:ascii="Arial" w:hAnsi="Arial" w:cs="Arial"/>
                <w:b/>
                <w:sz w:val="22"/>
                <w:szCs w:val="22"/>
              </w:rPr>
            </w:pPr>
          </w:p>
        </w:tc>
      </w:tr>
    </w:tbl>
    <w:p w14:paraId="78FC8791" w14:textId="77777777" w:rsidR="00A7759F" w:rsidRDefault="00A7759F" w:rsidP="00D14874">
      <w:pPr>
        <w:ind w:left="180"/>
        <w:rPr>
          <w:rFonts w:ascii="Arial" w:hAnsi="Arial" w:cs="Arial"/>
          <w:b/>
          <w:sz w:val="22"/>
          <w:szCs w:val="22"/>
        </w:rPr>
      </w:pPr>
    </w:p>
    <w:p w14:paraId="0AE9BAF1" w14:textId="77777777" w:rsidR="00A7759F" w:rsidRDefault="00A7759F" w:rsidP="00D14874">
      <w:pPr>
        <w:ind w:left="180"/>
        <w:rPr>
          <w:rFonts w:ascii="Arial" w:hAnsi="Arial" w:cs="Arial"/>
          <w:b/>
          <w:sz w:val="22"/>
          <w:szCs w:val="22"/>
        </w:rPr>
      </w:pPr>
    </w:p>
    <w:p w14:paraId="43B56D5E" w14:textId="77777777" w:rsidR="00D14874" w:rsidRPr="00D14874" w:rsidRDefault="00D14874" w:rsidP="00A7759F">
      <w:pPr>
        <w:rPr>
          <w:rFonts w:ascii="Arial" w:hAnsi="Arial" w:cs="Arial"/>
          <w:b/>
          <w:sz w:val="22"/>
          <w:szCs w:val="22"/>
        </w:rPr>
      </w:pPr>
      <w:r w:rsidRPr="00D14874">
        <w:rPr>
          <w:rFonts w:ascii="Arial" w:hAnsi="Arial" w:cs="Arial"/>
          <w:b/>
          <w:sz w:val="22"/>
          <w:szCs w:val="22"/>
        </w:rPr>
        <w:t>VENDOR RISK MANAGEMENT NARRATIVE</w:t>
      </w:r>
    </w:p>
    <w:p w14:paraId="2231835F" w14:textId="77777777" w:rsidR="00D14874" w:rsidRPr="00D14874" w:rsidRDefault="00D14874" w:rsidP="00A7759F">
      <w:pPr>
        <w:rPr>
          <w:rFonts w:ascii="Arial" w:hAnsi="Arial" w:cs="Arial"/>
          <w:b/>
          <w:sz w:val="22"/>
          <w:szCs w:val="22"/>
        </w:rPr>
      </w:pPr>
    </w:p>
    <w:p w14:paraId="60898D48" w14:textId="455B15D9" w:rsidR="00D14874" w:rsidRPr="00D14874" w:rsidRDefault="00D14874" w:rsidP="00A7759F">
      <w:pPr>
        <w:ind w:right="-72"/>
        <w:rPr>
          <w:rFonts w:ascii="Arial" w:hAnsi="Arial" w:cs="Arial"/>
          <w:sz w:val="22"/>
          <w:szCs w:val="22"/>
        </w:rPr>
      </w:pPr>
      <w:r w:rsidRPr="00D14874">
        <w:rPr>
          <w:rFonts w:ascii="Arial" w:hAnsi="Arial" w:cs="Arial"/>
          <w:sz w:val="22"/>
          <w:szCs w:val="22"/>
        </w:rPr>
        <w:t xml:space="preserve">Describe in narrative form the reasoning behind the risk ratings above.  In particular, explained risks that are considered “Moderate” or “High”.  If the bank’s exposure to risk within any of the categories is “Increasing” document the reason, and indicate whether the increased risk is expected to be temporary or continuing. Include information about past occurrences which led you to characterize the “likelihood of occurrence”. Explain the “impact severity” as it specifically relates to </w:t>
      </w:r>
      <w:r w:rsidR="000E40DB">
        <w:rPr>
          <w:rFonts w:ascii="Arial" w:hAnsi="Arial" w:cs="Arial"/>
          <w:sz w:val="22"/>
          <w:szCs w:val="22"/>
        </w:rPr>
        <w:t>&lt;NAME&gt;</w:t>
      </w:r>
      <w:r w:rsidRPr="00D14874">
        <w:rPr>
          <w:rFonts w:ascii="Arial" w:hAnsi="Arial" w:cs="Arial"/>
          <w:sz w:val="22"/>
          <w:szCs w:val="22"/>
        </w:rPr>
        <w:t xml:space="preserve">.    </w:t>
      </w:r>
    </w:p>
    <w:p w14:paraId="17FDDEB9" w14:textId="77777777" w:rsidR="00D14874" w:rsidRPr="00D14874" w:rsidRDefault="00D14874" w:rsidP="00D14874">
      <w:pPr>
        <w:rPr>
          <w:rFonts w:ascii="Arial" w:hAnsi="Arial" w:cs="Arial"/>
          <w:b/>
          <w:sz w:val="22"/>
          <w:szCs w:val="22"/>
        </w:rPr>
      </w:pPr>
    </w:p>
    <w:tbl>
      <w:tblPr>
        <w:tblW w:w="115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8617"/>
      </w:tblGrid>
      <w:tr w:rsidR="00D14874" w:rsidRPr="00D14874" w14:paraId="183C0B1B" w14:textId="77777777" w:rsidTr="00A7759F">
        <w:trPr>
          <w:trHeight w:val="1385"/>
        </w:trPr>
        <w:tc>
          <w:tcPr>
            <w:tcW w:w="2903" w:type="dxa"/>
          </w:tcPr>
          <w:p w14:paraId="01561157" w14:textId="77777777" w:rsidR="00D14874" w:rsidRPr="00D14874" w:rsidRDefault="00D14874" w:rsidP="00D14874">
            <w:pPr>
              <w:rPr>
                <w:rFonts w:ascii="Arial" w:hAnsi="Arial" w:cs="Arial"/>
                <w:b/>
                <w:sz w:val="22"/>
                <w:szCs w:val="22"/>
              </w:rPr>
            </w:pPr>
          </w:p>
          <w:p w14:paraId="5DE3D793" w14:textId="77777777" w:rsidR="00D14874" w:rsidRPr="00D14874" w:rsidRDefault="00D14874" w:rsidP="00D14874">
            <w:pPr>
              <w:rPr>
                <w:rFonts w:ascii="Arial" w:hAnsi="Arial" w:cs="Arial"/>
                <w:b/>
                <w:sz w:val="22"/>
                <w:szCs w:val="22"/>
              </w:rPr>
            </w:pPr>
            <w:r w:rsidRPr="00D14874">
              <w:rPr>
                <w:rFonts w:ascii="Arial" w:hAnsi="Arial" w:cs="Arial"/>
                <w:b/>
                <w:sz w:val="22"/>
                <w:szCs w:val="22"/>
              </w:rPr>
              <w:t>CREDIT RISK</w:t>
            </w:r>
          </w:p>
          <w:p w14:paraId="08D1F940" w14:textId="77777777" w:rsidR="00D14874" w:rsidRPr="00D14874" w:rsidRDefault="00D14874" w:rsidP="00D14874">
            <w:pPr>
              <w:rPr>
                <w:rFonts w:ascii="Arial" w:hAnsi="Arial" w:cs="Arial"/>
                <w:b/>
                <w:sz w:val="22"/>
                <w:szCs w:val="22"/>
              </w:rPr>
            </w:pPr>
          </w:p>
          <w:p w14:paraId="7A53B8D4" w14:textId="77777777" w:rsidR="00D14874" w:rsidRPr="00D14874" w:rsidRDefault="00D14874" w:rsidP="00D14874">
            <w:pPr>
              <w:rPr>
                <w:rFonts w:ascii="Arial" w:hAnsi="Arial" w:cs="Arial"/>
                <w:b/>
                <w:sz w:val="22"/>
                <w:szCs w:val="22"/>
              </w:rPr>
            </w:pPr>
          </w:p>
          <w:p w14:paraId="78E6A023" w14:textId="77777777" w:rsidR="00D14874" w:rsidRPr="00D14874" w:rsidRDefault="00D14874" w:rsidP="00D14874">
            <w:pPr>
              <w:rPr>
                <w:rFonts w:ascii="Arial" w:hAnsi="Arial" w:cs="Arial"/>
                <w:b/>
                <w:sz w:val="22"/>
                <w:szCs w:val="22"/>
              </w:rPr>
            </w:pPr>
          </w:p>
        </w:tc>
        <w:tc>
          <w:tcPr>
            <w:tcW w:w="8617" w:type="dxa"/>
          </w:tcPr>
          <w:p w14:paraId="429A5A1F" w14:textId="77777777" w:rsidR="00D14874" w:rsidRPr="00D14874" w:rsidRDefault="00D14874" w:rsidP="00D14874">
            <w:pPr>
              <w:rPr>
                <w:rFonts w:ascii="Arial" w:hAnsi="Arial" w:cs="Arial"/>
                <w:b/>
                <w:sz w:val="22"/>
                <w:szCs w:val="22"/>
              </w:rPr>
            </w:pPr>
          </w:p>
          <w:p w14:paraId="36803765" w14:textId="77777777" w:rsidR="00D14874" w:rsidRPr="00D14874" w:rsidRDefault="00D14874" w:rsidP="00D14874">
            <w:pPr>
              <w:rPr>
                <w:rFonts w:ascii="Arial" w:hAnsi="Arial" w:cs="Arial"/>
                <w:b/>
                <w:sz w:val="22"/>
                <w:szCs w:val="22"/>
              </w:rPr>
            </w:pPr>
          </w:p>
          <w:p w14:paraId="6FD9F940" w14:textId="77777777" w:rsidR="00D14874" w:rsidRPr="00D14874" w:rsidRDefault="00D14874" w:rsidP="00D14874">
            <w:pPr>
              <w:rPr>
                <w:rFonts w:ascii="Arial" w:hAnsi="Arial" w:cs="Arial"/>
                <w:b/>
                <w:sz w:val="22"/>
                <w:szCs w:val="22"/>
              </w:rPr>
            </w:pPr>
          </w:p>
        </w:tc>
      </w:tr>
      <w:tr w:rsidR="00D14874" w:rsidRPr="00D14874" w14:paraId="63FBE6A9" w14:textId="77777777" w:rsidTr="00A7759F">
        <w:trPr>
          <w:trHeight w:val="1340"/>
        </w:trPr>
        <w:tc>
          <w:tcPr>
            <w:tcW w:w="2903" w:type="dxa"/>
          </w:tcPr>
          <w:p w14:paraId="5282D237" w14:textId="77777777" w:rsidR="00D14874" w:rsidRPr="00D14874" w:rsidRDefault="00D14874" w:rsidP="00D14874">
            <w:pPr>
              <w:rPr>
                <w:rFonts w:ascii="Arial" w:hAnsi="Arial" w:cs="Arial"/>
                <w:b/>
                <w:sz w:val="22"/>
                <w:szCs w:val="22"/>
              </w:rPr>
            </w:pPr>
          </w:p>
          <w:p w14:paraId="7FC765CA" w14:textId="77777777" w:rsidR="00D14874" w:rsidRPr="00D14874" w:rsidRDefault="00D14874" w:rsidP="00D14874">
            <w:pPr>
              <w:rPr>
                <w:rFonts w:ascii="Arial" w:hAnsi="Arial" w:cs="Arial"/>
                <w:b/>
                <w:sz w:val="22"/>
                <w:szCs w:val="22"/>
              </w:rPr>
            </w:pPr>
            <w:r w:rsidRPr="00D14874">
              <w:rPr>
                <w:rFonts w:ascii="Arial" w:hAnsi="Arial" w:cs="Arial"/>
                <w:b/>
                <w:sz w:val="22"/>
                <w:szCs w:val="22"/>
              </w:rPr>
              <w:t>MARKET RISK</w:t>
            </w:r>
          </w:p>
          <w:p w14:paraId="1F98E01C" w14:textId="77777777" w:rsidR="00D14874" w:rsidRPr="00D14874" w:rsidRDefault="00D14874" w:rsidP="00D14874">
            <w:pPr>
              <w:rPr>
                <w:rFonts w:ascii="Arial" w:hAnsi="Arial" w:cs="Arial"/>
                <w:b/>
                <w:sz w:val="22"/>
                <w:szCs w:val="22"/>
              </w:rPr>
            </w:pPr>
          </w:p>
          <w:p w14:paraId="46DA5109" w14:textId="77777777" w:rsidR="00D14874" w:rsidRPr="00D14874" w:rsidRDefault="00D14874" w:rsidP="00D14874">
            <w:pPr>
              <w:rPr>
                <w:rFonts w:ascii="Arial" w:hAnsi="Arial" w:cs="Arial"/>
                <w:b/>
                <w:sz w:val="22"/>
                <w:szCs w:val="22"/>
              </w:rPr>
            </w:pPr>
          </w:p>
          <w:p w14:paraId="4063AF52" w14:textId="77777777" w:rsidR="00D14874" w:rsidRPr="00D14874" w:rsidRDefault="00D14874" w:rsidP="00D14874">
            <w:pPr>
              <w:rPr>
                <w:rFonts w:ascii="Arial" w:hAnsi="Arial" w:cs="Arial"/>
                <w:b/>
                <w:sz w:val="22"/>
                <w:szCs w:val="22"/>
              </w:rPr>
            </w:pPr>
          </w:p>
        </w:tc>
        <w:tc>
          <w:tcPr>
            <w:tcW w:w="8617" w:type="dxa"/>
          </w:tcPr>
          <w:p w14:paraId="4B49A997" w14:textId="77777777" w:rsidR="00D14874" w:rsidRPr="00D14874" w:rsidRDefault="00D14874" w:rsidP="00D14874">
            <w:pPr>
              <w:rPr>
                <w:rFonts w:ascii="Arial" w:hAnsi="Arial" w:cs="Arial"/>
                <w:b/>
                <w:sz w:val="22"/>
                <w:szCs w:val="22"/>
              </w:rPr>
            </w:pPr>
          </w:p>
        </w:tc>
      </w:tr>
      <w:tr w:rsidR="00D14874" w:rsidRPr="00D14874" w14:paraId="675626CD" w14:textId="77777777" w:rsidTr="00A7759F">
        <w:trPr>
          <w:trHeight w:val="1349"/>
        </w:trPr>
        <w:tc>
          <w:tcPr>
            <w:tcW w:w="2903" w:type="dxa"/>
          </w:tcPr>
          <w:p w14:paraId="51CCD54F" w14:textId="77777777" w:rsidR="00D14874" w:rsidRPr="00D14874" w:rsidRDefault="00D14874" w:rsidP="00D14874">
            <w:pPr>
              <w:rPr>
                <w:rFonts w:ascii="Arial" w:hAnsi="Arial" w:cs="Arial"/>
                <w:b/>
                <w:sz w:val="22"/>
                <w:szCs w:val="22"/>
              </w:rPr>
            </w:pPr>
          </w:p>
          <w:p w14:paraId="3A201177" w14:textId="77777777" w:rsidR="00D14874" w:rsidRPr="00D14874" w:rsidRDefault="00D14874" w:rsidP="00D14874">
            <w:pPr>
              <w:rPr>
                <w:rFonts w:ascii="Arial" w:hAnsi="Arial" w:cs="Arial"/>
                <w:b/>
                <w:sz w:val="22"/>
                <w:szCs w:val="22"/>
              </w:rPr>
            </w:pPr>
            <w:r w:rsidRPr="00D14874">
              <w:rPr>
                <w:rFonts w:ascii="Arial" w:hAnsi="Arial" w:cs="Arial"/>
                <w:b/>
                <w:sz w:val="22"/>
                <w:szCs w:val="22"/>
              </w:rPr>
              <w:t xml:space="preserve">LIQUIDITY RISK </w:t>
            </w:r>
          </w:p>
          <w:p w14:paraId="7B4ACCEE" w14:textId="77777777" w:rsidR="00D14874" w:rsidRPr="00D14874" w:rsidRDefault="00D14874" w:rsidP="00D14874">
            <w:pPr>
              <w:rPr>
                <w:rFonts w:ascii="Arial" w:hAnsi="Arial" w:cs="Arial"/>
                <w:b/>
                <w:sz w:val="22"/>
                <w:szCs w:val="22"/>
              </w:rPr>
            </w:pPr>
          </w:p>
          <w:p w14:paraId="7FA4CA55" w14:textId="77777777" w:rsidR="00D14874" w:rsidRPr="00D14874" w:rsidRDefault="00D14874" w:rsidP="00D14874">
            <w:pPr>
              <w:rPr>
                <w:rFonts w:ascii="Arial" w:hAnsi="Arial" w:cs="Arial"/>
                <w:b/>
                <w:sz w:val="22"/>
                <w:szCs w:val="22"/>
              </w:rPr>
            </w:pPr>
          </w:p>
          <w:p w14:paraId="6FF31317" w14:textId="77777777" w:rsidR="00D14874" w:rsidRPr="00D14874" w:rsidRDefault="00D14874" w:rsidP="00D14874">
            <w:pPr>
              <w:rPr>
                <w:rFonts w:ascii="Arial" w:hAnsi="Arial" w:cs="Arial"/>
                <w:b/>
                <w:sz w:val="22"/>
                <w:szCs w:val="22"/>
              </w:rPr>
            </w:pPr>
          </w:p>
        </w:tc>
        <w:tc>
          <w:tcPr>
            <w:tcW w:w="8617" w:type="dxa"/>
          </w:tcPr>
          <w:p w14:paraId="5B304F11" w14:textId="77777777" w:rsidR="00D14874" w:rsidRPr="00D14874" w:rsidRDefault="00D14874" w:rsidP="00D14874">
            <w:pPr>
              <w:rPr>
                <w:rFonts w:ascii="Arial" w:hAnsi="Arial" w:cs="Arial"/>
                <w:b/>
                <w:sz w:val="22"/>
                <w:szCs w:val="22"/>
              </w:rPr>
            </w:pPr>
          </w:p>
        </w:tc>
      </w:tr>
      <w:tr w:rsidR="00D14874" w:rsidRPr="00D14874" w14:paraId="059D97F5" w14:textId="77777777" w:rsidTr="00A7759F">
        <w:trPr>
          <w:trHeight w:val="1331"/>
        </w:trPr>
        <w:tc>
          <w:tcPr>
            <w:tcW w:w="2903" w:type="dxa"/>
          </w:tcPr>
          <w:p w14:paraId="6F1B6854" w14:textId="77777777" w:rsidR="00D14874" w:rsidRPr="00D14874" w:rsidRDefault="00D14874" w:rsidP="00D14874">
            <w:pPr>
              <w:rPr>
                <w:rFonts w:ascii="Arial" w:hAnsi="Arial" w:cs="Arial"/>
                <w:b/>
                <w:sz w:val="22"/>
                <w:szCs w:val="22"/>
              </w:rPr>
            </w:pPr>
          </w:p>
          <w:p w14:paraId="097E40E6" w14:textId="77777777" w:rsidR="00D14874" w:rsidRPr="00D14874" w:rsidRDefault="00D14874" w:rsidP="00D14874">
            <w:pPr>
              <w:rPr>
                <w:rFonts w:ascii="Arial" w:hAnsi="Arial" w:cs="Arial"/>
                <w:b/>
                <w:sz w:val="22"/>
                <w:szCs w:val="22"/>
              </w:rPr>
            </w:pPr>
            <w:r w:rsidRPr="00D14874">
              <w:rPr>
                <w:rFonts w:ascii="Arial" w:hAnsi="Arial" w:cs="Arial"/>
                <w:b/>
                <w:sz w:val="22"/>
                <w:szCs w:val="22"/>
              </w:rPr>
              <w:t>STRATEGIC RISK</w:t>
            </w:r>
          </w:p>
          <w:p w14:paraId="4B8C7E10" w14:textId="77777777" w:rsidR="00D14874" w:rsidRPr="00D14874" w:rsidRDefault="00D14874" w:rsidP="00D14874">
            <w:pPr>
              <w:rPr>
                <w:rFonts w:ascii="Arial" w:hAnsi="Arial" w:cs="Arial"/>
                <w:b/>
                <w:sz w:val="22"/>
                <w:szCs w:val="22"/>
              </w:rPr>
            </w:pPr>
          </w:p>
          <w:p w14:paraId="67CD02BA" w14:textId="77777777" w:rsidR="00D14874" w:rsidRPr="00D14874" w:rsidRDefault="00D14874" w:rsidP="00D14874">
            <w:pPr>
              <w:rPr>
                <w:rFonts w:ascii="Arial" w:hAnsi="Arial" w:cs="Arial"/>
                <w:b/>
                <w:sz w:val="22"/>
                <w:szCs w:val="22"/>
              </w:rPr>
            </w:pPr>
          </w:p>
          <w:p w14:paraId="3EEE8E62" w14:textId="77777777" w:rsidR="00D14874" w:rsidRPr="00D14874" w:rsidRDefault="00D14874" w:rsidP="00D14874">
            <w:pPr>
              <w:rPr>
                <w:rFonts w:ascii="Arial" w:hAnsi="Arial" w:cs="Arial"/>
                <w:b/>
                <w:sz w:val="22"/>
                <w:szCs w:val="22"/>
              </w:rPr>
            </w:pPr>
          </w:p>
        </w:tc>
        <w:tc>
          <w:tcPr>
            <w:tcW w:w="8617" w:type="dxa"/>
          </w:tcPr>
          <w:p w14:paraId="60D92642" w14:textId="77777777" w:rsidR="00D14874" w:rsidRPr="00D14874" w:rsidRDefault="00D14874" w:rsidP="00D14874">
            <w:pPr>
              <w:rPr>
                <w:rFonts w:ascii="Arial" w:hAnsi="Arial" w:cs="Arial"/>
                <w:b/>
                <w:sz w:val="22"/>
                <w:szCs w:val="22"/>
              </w:rPr>
            </w:pPr>
          </w:p>
        </w:tc>
      </w:tr>
      <w:tr w:rsidR="00D14874" w:rsidRPr="00D14874" w14:paraId="4F6D9218" w14:textId="77777777" w:rsidTr="00A7759F">
        <w:trPr>
          <w:trHeight w:val="1349"/>
        </w:trPr>
        <w:tc>
          <w:tcPr>
            <w:tcW w:w="2903" w:type="dxa"/>
          </w:tcPr>
          <w:p w14:paraId="09DB4DA7" w14:textId="77777777" w:rsidR="00D14874" w:rsidRPr="00D14874" w:rsidRDefault="00D14874" w:rsidP="00D14874">
            <w:pPr>
              <w:rPr>
                <w:rFonts w:ascii="Arial" w:hAnsi="Arial" w:cs="Arial"/>
                <w:b/>
                <w:sz w:val="22"/>
                <w:szCs w:val="22"/>
              </w:rPr>
            </w:pPr>
          </w:p>
          <w:p w14:paraId="3D3EA342" w14:textId="77777777" w:rsidR="00D14874" w:rsidRPr="00D14874" w:rsidRDefault="00D14874" w:rsidP="00D14874">
            <w:pPr>
              <w:rPr>
                <w:rFonts w:ascii="Arial" w:hAnsi="Arial" w:cs="Arial"/>
                <w:b/>
                <w:sz w:val="22"/>
                <w:szCs w:val="22"/>
              </w:rPr>
            </w:pPr>
            <w:r w:rsidRPr="00D14874">
              <w:rPr>
                <w:rFonts w:ascii="Arial" w:hAnsi="Arial" w:cs="Arial"/>
                <w:b/>
                <w:sz w:val="22"/>
                <w:szCs w:val="22"/>
              </w:rPr>
              <w:t>OPERATIONAL RISK</w:t>
            </w:r>
          </w:p>
          <w:p w14:paraId="2709FF88" w14:textId="77777777" w:rsidR="00D14874" w:rsidRPr="00D14874" w:rsidRDefault="00D14874" w:rsidP="00D14874">
            <w:pPr>
              <w:rPr>
                <w:rFonts w:ascii="Arial" w:hAnsi="Arial" w:cs="Arial"/>
                <w:b/>
                <w:sz w:val="22"/>
                <w:szCs w:val="22"/>
              </w:rPr>
            </w:pPr>
          </w:p>
          <w:p w14:paraId="459CD51B" w14:textId="77777777" w:rsidR="00D14874" w:rsidRPr="00D14874" w:rsidRDefault="00D14874" w:rsidP="00D14874">
            <w:pPr>
              <w:rPr>
                <w:rFonts w:ascii="Arial" w:hAnsi="Arial" w:cs="Arial"/>
                <w:b/>
                <w:sz w:val="22"/>
                <w:szCs w:val="22"/>
              </w:rPr>
            </w:pPr>
          </w:p>
          <w:p w14:paraId="2CA83856" w14:textId="77777777" w:rsidR="00D14874" w:rsidRPr="00D14874" w:rsidRDefault="00D14874" w:rsidP="00D14874">
            <w:pPr>
              <w:rPr>
                <w:rFonts w:ascii="Arial" w:hAnsi="Arial" w:cs="Arial"/>
                <w:b/>
                <w:sz w:val="22"/>
                <w:szCs w:val="22"/>
              </w:rPr>
            </w:pPr>
          </w:p>
        </w:tc>
        <w:tc>
          <w:tcPr>
            <w:tcW w:w="8617" w:type="dxa"/>
          </w:tcPr>
          <w:p w14:paraId="4C8618AD" w14:textId="77777777" w:rsidR="00D14874" w:rsidRPr="00D14874" w:rsidRDefault="00D14874" w:rsidP="00D14874">
            <w:pPr>
              <w:rPr>
                <w:rFonts w:ascii="Arial" w:hAnsi="Arial" w:cs="Arial"/>
                <w:b/>
                <w:sz w:val="22"/>
                <w:szCs w:val="22"/>
              </w:rPr>
            </w:pPr>
          </w:p>
        </w:tc>
      </w:tr>
      <w:tr w:rsidR="00D14874" w:rsidRPr="00D14874" w14:paraId="7D6CA8B4" w14:textId="77777777" w:rsidTr="00A7759F">
        <w:trPr>
          <w:trHeight w:val="1331"/>
        </w:trPr>
        <w:tc>
          <w:tcPr>
            <w:tcW w:w="2903" w:type="dxa"/>
          </w:tcPr>
          <w:p w14:paraId="398A761D" w14:textId="77777777" w:rsidR="00D14874" w:rsidRPr="00D14874" w:rsidRDefault="00D14874" w:rsidP="00D14874">
            <w:pPr>
              <w:rPr>
                <w:rFonts w:ascii="Arial" w:hAnsi="Arial" w:cs="Arial"/>
                <w:b/>
                <w:sz w:val="22"/>
                <w:szCs w:val="22"/>
              </w:rPr>
            </w:pPr>
          </w:p>
          <w:p w14:paraId="0FE216BF" w14:textId="77777777" w:rsidR="00D14874" w:rsidRPr="00D14874" w:rsidRDefault="00D14874" w:rsidP="00D14874">
            <w:pPr>
              <w:rPr>
                <w:rFonts w:ascii="Arial" w:hAnsi="Arial" w:cs="Arial"/>
                <w:b/>
                <w:sz w:val="22"/>
                <w:szCs w:val="22"/>
              </w:rPr>
            </w:pPr>
            <w:r w:rsidRPr="00D14874">
              <w:rPr>
                <w:rFonts w:ascii="Arial" w:hAnsi="Arial" w:cs="Arial"/>
                <w:b/>
                <w:sz w:val="22"/>
                <w:szCs w:val="22"/>
              </w:rPr>
              <w:t>COMPLIANCE RISK</w:t>
            </w:r>
          </w:p>
          <w:p w14:paraId="6F8F598D" w14:textId="77777777" w:rsidR="00D14874" w:rsidRPr="00D14874" w:rsidRDefault="00D14874" w:rsidP="00D14874">
            <w:pPr>
              <w:rPr>
                <w:rFonts w:ascii="Arial" w:hAnsi="Arial" w:cs="Arial"/>
                <w:b/>
                <w:sz w:val="22"/>
                <w:szCs w:val="22"/>
              </w:rPr>
            </w:pPr>
          </w:p>
          <w:p w14:paraId="696B70F4" w14:textId="77777777" w:rsidR="00D14874" w:rsidRPr="00D14874" w:rsidRDefault="00D14874" w:rsidP="00D14874">
            <w:pPr>
              <w:rPr>
                <w:rFonts w:ascii="Arial" w:hAnsi="Arial" w:cs="Arial"/>
                <w:b/>
                <w:sz w:val="22"/>
                <w:szCs w:val="22"/>
              </w:rPr>
            </w:pPr>
          </w:p>
          <w:p w14:paraId="59D92EDC" w14:textId="77777777" w:rsidR="00D14874" w:rsidRPr="00D14874" w:rsidRDefault="00D14874" w:rsidP="00D14874">
            <w:pPr>
              <w:rPr>
                <w:rFonts w:ascii="Arial" w:hAnsi="Arial" w:cs="Arial"/>
                <w:b/>
                <w:sz w:val="22"/>
                <w:szCs w:val="22"/>
              </w:rPr>
            </w:pPr>
          </w:p>
        </w:tc>
        <w:tc>
          <w:tcPr>
            <w:tcW w:w="8617" w:type="dxa"/>
          </w:tcPr>
          <w:p w14:paraId="7BE78F2D" w14:textId="77777777" w:rsidR="00D14874" w:rsidRPr="00D14874" w:rsidRDefault="00D14874" w:rsidP="00D14874">
            <w:pPr>
              <w:rPr>
                <w:rFonts w:ascii="Arial" w:hAnsi="Arial" w:cs="Arial"/>
                <w:b/>
                <w:sz w:val="22"/>
                <w:szCs w:val="22"/>
              </w:rPr>
            </w:pPr>
          </w:p>
        </w:tc>
      </w:tr>
      <w:tr w:rsidR="00D14874" w:rsidRPr="00D14874" w14:paraId="34668F2F" w14:textId="77777777" w:rsidTr="00A7759F">
        <w:trPr>
          <w:trHeight w:val="1421"/>
        </w:trPr>
        <w:tc>
          <w:tcPr>
            <w:tcW w:w="2903" w:type="dxa"/>
          </w:tcPr>
          <w:p w14:paraId="4C910F3B" w14:textId="77777777" w:rsidR="00D14874" w:rsidRPr="00D14874" w:rsidRDefault="00D14874" w:rsidP="00D14874">
            <w:pPr>
              <w:rPr>
                <w:rFonts w:ascii="Arial" w:hAnsi="Arial" w:cs="Arial"/>
                <w:b/>
                <w:sz w:val="22"/>
                <w:szCs w:val="22"/>
              </w:rPr>
            </w:pPr>
          </w:p>
          <w:p w14:paraId="74021E6D" w14:textId="77777777" w:rsidR="00D14874" w:rsidRPr="00D14874" w:rsidRDefault="00D14874" w:rsidP="00D14874">
            <w:pPr>
              <w:rPr>
                <w:rFonts w:ascii="Arial" w:hAnsi="Arial" w:cs="Arial"/>
                <w:b/>
                <w:sz w:val="22"/>
                <w:szCs w:val="22"/>
              </w:rPr>
            </w:pPr>
            <w:r w:rsidRPr="00D14874">
              <w:rPr>
                <w:rFonts w:ascii="Arial" w:hAnsi="Arial" w:cs="Arial"/>
                <w:b/>
                <w:sz w:val="22"/>
                <w:szCs w:val="22"/>
              </w:rPr>
              <w:t>REPUTATION RISK</w:t>
            </w:r>
          </w:p>
          <w:p w14:paraId="10562D31" w14:textId="77777777" w:rsidR="00D14874" w:rsidRPr="00D14874" w:rsidRDefault="00D14874" w:rsidP="00D14874">
            <w:pPr>
              <w:rPr>
                <w:rFonts w:ascii="Arial" w:hAnsi="Arial" w:cs="Arial"/>
                <w:b/>
                <w:sz w:val="22"/>
                <w:szCs w:val="22"/>
              </w:rPr>
            </w:pPr>
          </w:p>
          <w:p w14:paraId="5510725D" w14:textId="77777777" w:rsidR="00D14874" w:rsidRPr="00D14874" w:rsidRDefault="00D14874" w:rsidP="00D14874">
            <w:pPr>
              <w:rPr>
                <w:rFonts w:ascii="Arial" w:hAnsi="Arial" w:cs="Arial"/>
                <w:b/>
                <w:sz w:val="22"/>
                <w:szCs w:val="22"/>
              </w:rPr>
            </w:pPr>
          </w:p>
          <w:p w14:paraId="73003126" w14:textId="77777777" w:rsidR="00D14874" w:rsidRPr="00D14874" w:rsidRDefault="00D14874" w:rsidP="00D14874">
            <w:pPr>
              <w:rPr>
                <w:rFonts w:ascii="Arial" w:hAnsi="Arial" w:cs="Arial"/>
                <w:b/>
                <w:sz w:val="22"/>
                <w:szCs w:val="22"/>
              </w:rPr>
            </w:pPr>
          </w:p>
        </w:tc>
        <w:tc>
          <w:tcPr>
            <w:tcW w:w="8617" w:type="dxa"/>
          </w:tcPr>
          <w:p w14:paraId="696A7710" w14:textId="77777777" w:rsidR="00D14874" w:rsidRPr="00D14874" w:rsidRDefault="00D14874" w:rsidP="00D14874">
            <w:pPr>
              <w:rPr>
                <w:rFonts w:ascii="Arial" w:hAnsi="Arial" w:cs="Arial"/>
                <w:b/>
                <w:sz w:val="22"/>
                <w:szCs w:val="22"/>
              </w:rPr>
            </w:pPr>
          </w:p>
        </w:tc>
      </w:tr>
    </w:tbl>
    <w:p w14:paraId="5D8FC6E7" w14:textId="77777777" w:rsidR="00D14874" w:rsidRPr="00D14874" w:rsidRDefault="00D14874" w:rsidP="00D14874">
      <w:pPr>
        <w:rPr>
          <w:rFonts w:ascii="Arial" w:hAnsi="Arial" w:cs="Arial"/>
          <w:b/>
          <w:sz w:val="22"/>
          <w:szCs w:val="22"/>
        </w:rPr>
      </w:pPr>
    </w:p>
    <w:p w14:paraId="6FCE7B09" w14:textId="77777777" w:rsidR="00D14874" w:rsidRPr="00D14874" w:rsidRDefault="00D14874" w:rsidP="00D14874">
      <w:pPr>
        <w:ind w:left="180"/>
        <w:rPr>
          <w:rFonts w:ascii="Arial" w:hAnsi="Arial" w:cs="Arial"/>
          <w:b/>
          <w:sz w:val="22"/>
          <w:szCs w:val="22"/>
        </w:rPr>
      </w:pPr>
      <w:r w:rsidRPr="00D14874">
        <w:rPr>
          <w:rFonts w:ascii="Arial" w:hAnsi="Arial" w:cs="Arial"/>
          <w:b/>
        </w:rPr>
        <w:t xml:space="preserve">  </w:t>
      </w:r>
      <w:r w:rsidRPr="00D14874">
        <w:rPr>
          <w:rFonts w:ascii="Arial" w:hAnsi="Arial" w:cs="Arial"/>
          <w:b/>
          <w:sz w:val="22"/>
          <w:szCs w:val="22"/>
        </w:rPr>
        <w:t>COMMENTS:</w:t>
      </w:r>
    </w:p>
    <w:p w14:paraId="5F52F06B" w14:textId="77777777" w:rsidR="00D14874" w:rsidRPr="00D14874" w:rsidRDefault="00D14874" w:rsidP="00D14874">
      <w:pPr>
        <w:rPr>
          <w:rFonts w:ascii="Arial" w:hAnsi="Arial" w:cs="Arial"/>
          <w:sz w:val="22"/>
          <w:szCs w:val="22"/>
        </w:rPr>
      </w:pPr>
    </w:p>
    <w:p w14:paraId="0BDE254C" w14:textId="77777777" w:rsidR="00D14874" w:rsidRPr="00D14874" w:rsidRDefault="00D14874" w:rsidP="00D14874">
      <w:pPr>
        <w:jc w:val="right"/>
        <w:rPr>
          <w:rFonts w:ascii="Arial" w:hAnsi="Arial" w:cs="Arial"/>
          <w:sz w:val="20"/>
          <w:szCs w:val="20"/>
        </w:rPr>
      </w:pPr>
    </w:p>
    <w:p w14:paraId="644981B7" w14:textId="77777777" w:rsidR="00D14874" w:rsidRPr="00D14874" w:rsidRDefault="00D14874" w:rsidP="00D14874">
      <w:pPr>
        <w:jc w:val="right"/>
        <w:rPr>
          <w:rFonts w:ascii="Arial" w:hAnsi="Arial" w:cs="Arial"/>
          <w:sz w:val="20"/>
          <w:szCs w:val="20"/>
        </w:rPr>
      </w:pPr>
    </w:p>
    <w:p w14:paraId="730230A7" w14:textId="77777777" w:rsidR="00D14874" w:rsidRPr="00D14874" w:rsidRDefault="00D14874" w:rsidP="00D14874">
      <w:pPr>
        <w:jc w:val="right"/>
        <w:rPr>
          <w:rFonts w:ascii="Arial" w:hAnsi="Arial" w:cs="Arial"/>
          <w:sz w:val="20"/>
          <w:szCs w:val="20"/>
        </w:rPr>
      </w:pPr>
    </w:p>
    <w:p w14:paraId="36117B71" w14:textId="77777777" w:rsidR="00D14874" w:rsidRPr="00D14874" w:rsidRDefault="00D14874" w:rsidP="00D14874">
      <w:pPr>
        <w:jc w:val="right"/>
        <w:rPr>
          <w:rFonts w:ascii="Arial" w:hAnsi="Arial" w:cs="Arial"/>
          <w:sz w:val="20"/>
          <w:szCs w:val="20"/>
        </w:rPr>
      </w:pPr>
    </w:p>
    <w:p w14:paraId="57B972CB" w14:textId="77777777" w:rsidR="00D14874" w:rsidRPr="00D14874" w:rsidRDefault="00D14874" w:rsidP="00D14874">
      <w:pPr>
        <w:jc w:val="right"/>
        <w:rPr>
          <w:rFonts w:ascii="Arial" w:hAnsi="Arial" w:cs="Arial"/>
          <w:sz w:val="20"/>
          <w:szCs w:val="20"/>
        </w:rPr>
      </w:pPr>
    </w:p>
    <w:p w14:paraId="0075C04C" w14:textId="77777777" w:rsidR="00D14874" w:rsidRPr="00D14874" w:rsidRDefault="00D14874" w:rsidP="00D14874">
      <w:pPr>
        <w:jc w:val="right"/>
        <w:rPr>
          <w:rFonts w:ascii="Arial" w:hAnsi="Arial" w:cs="Arial"/>
          <w:sz w:val="20"/>
          <w:szCs w:val="20"/>
        </w:rPr>
      </w:pPr>
    </w:p>
    <w:p w14:paraId="405EE253" w14:textId="77777777" w:rsidR="00D14874" w:rsidRPr="00D14874" w:rsidRDefault="00D14874" w:rsidP="00D14874">
      <w:pPr>
        <w:jc w:val="right"/>
        <w:rPr>
          <w:rFonts w:ascii="Arial" w:hAnsi="Arial" w:cs="Arial"/>
          <w:sz w:val="20"/>
          <w:szCs w:val="20"/>
        </w:rPr>
      </w:pPr>
    </w:p>
    <w:p w14:paraId="131D6545" w14:textId="77777777" w:rsidR="00946C0C" w:rsidRDefault="00D14874" w:rsidP="00985111">
      <w:pPr>
        <w:jc w:val="right"/>
        <w:rPr>
          <w:rFonts w:ascii="Arial" w:hAnsi="Arial" w:cs="Arial"/>
          <w:b/>
        </w:rPr>
      </w:pPr>
      <w:r w:rsidRPr="00D14874">
        <w:rPr>
          <w:rFonts w:ascii="Arial" w:hAnsi="Arial" w:cs="Arial"/>
          <w:sz w:val="20"/>
          <w:szCs w:val="20"/>
        </w:rPr>
        <w:t>SI 3/2019</w:t>
      </w:r>
    </w:p>
    <w:p w14:paraId="69C2C235" w14:textId="77777777" w:rsidR="00716DD5" w:rsidRDefault="00716DD5" w:rsidP="00716DD5">
      <w:pPr>
        <w:jc w:val="center"/>
        <w:rPr>
          <w:rFonts w:ascii="Arial" w:hAnsi="Arial" w:cs="Arial"/>
          <w:b/>
        </w:rPr>
      </w:pPr>
    </w:p>
    <w:sectPr w:rsidR="00716DD5" w:rsidSect="00D14874">
      <w:footerReference w:type="even" r:id="rId11"/>
      <w:footerReference w:type="default" r:id="rId12"/>
      <w:pgSz w:w="12240" w:h="15840" w:code="1"/>
      <w:pgMar w:top="576" w:right="576" w:bottom="432" w:left="576"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317D" w14:textId="77777777" w:rsidR="000D6928" w:rsidRDefault="000D6928">
      <w:r>
        <w:separator/>
      </w:r>
    </w:p>
  </w:endnote>
  <w:endnote w:type="continuationSeparator" w:id="0">
    <w:p w14:paraId="04014956" w14:textId="77777777" w:rsidR="000D6928" w:rsidRDefault="000D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062C" w14:textId="77777777" w:rsidR="00D14874" w:rsidRDefault="00D14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08733F" w14:textId="77777777" w:rsidR="00D14874" w:rsidRDefault="00D1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B398" w14:textId="77777777" w:rsidR="00D14874" w:rsidRDefault="00D14874">
    <w:pPr>
      <w:pStyle w:val="Footer"/>
      <w:jc w:val="center"/>
    </w:pPr>
    <w:r>
      <w:fldChar w:fldCharType="begin"/>
    </w:r>
    <w:r>
      <w:instrText xml:space="preserve"> PAGE   \* MERGEFORMAT </w:instrText>
    </w:r>
    <w:r>
      <w:fldChar w:fldCharType="separate"/>
    </w:r>
    <w:r w:rsidR="008278BD">
      <w:rPr>
        <w:noProof/>
      </w:rPr>
      <w:t>6</w:t>
    </w:r>
    <w:r>
      <w:fldChar w:fldCharType="end"/>
    </w:r>
  </w:p>
  <w:p w14:paraId="1BBFCA14" w14:textId="77777777" w:rsidR="00D14874" w:rsidRDefault="00D14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3DE2" w14:textId="77777777" w:rsidR="00D14874" w:rsidRDefault="00D14874">
    <w:pPr>
      <w:pStyle w:val="Footer"/>
      <w:jc w:val="center"/>
    </w:pPr>
    <w:r>
      <w:fldChar w:fldCharType="begin"/>
    </w:r>
    <w:r>
      <w:instrText xml:space="preserve"> PAGE   \* MERGEFORMAT </w:instrText>
    </w:r>
    <w:r>
      <w:fldChar w:fldCharType="separate"/>
    </w:r>
    <w:r>
      <w:rPr>
        <w:noProof/>
      </w:rPr>
      <w:t>4</w:t>
    </w:r>
    <w:r>
      <w:rPr>
        <w:noProof/>
      </w:rPr>
      <w:fldChar w:fldCharType="end"/>
    </w:r>
  </w:p>
  <w:p w14:paraId="1C30E1D8" w14:textId="77777777" w:rsidR="00D14874" w:rsidRDefault="00D14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0DC9" w14:textId="77777777" w:rsidR="00333288" w:rsidRDefault="00333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14AABD" w14:textId="77777777" w:rsidR="00333288" w:rsidRDefault="003332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5312" w14:textId="77777777" w:rsidR="00E1022A" w:rsidRDefault="00E1022A">
    <w:pPr>
      <w:pStyle w:val="Footer"/>
      <w:jc w:val="center"/>
    </w:pPr>
    <w:r>
      <w:fldChar w:fldCharType="begin"/>
    </w:r>
    <w:r>
      <w:instrText xml:space="preserve"> PAGE   \* MERGEFORMAT </w:instrText>
    </w:r>
    <w:r>
      <w:fldChar w:fldCharType="separate"/>
    </w:r>
    <w:r w:rsidR="008278BD">
      <w:rPr>
        <w:noProof/>
      </w:rPr>
      <w:t>10</w:t>
    </w:r>
    <w:r>
      <w:fldChar w:fldCharType="end"/>
    </w:r>
  </w:p>
  <w:p w14:paraId="518DB181" w14:textId="77777777" w:rsidR="00333288" w:rsidRDefault="00333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A7F7" w14:textId="77777777" w:rsidR="000D6928" w:rsidRDefault="000D6928">
      <w:r>
        <w:separator/>
      </w:r>
    </w:p>
  </w:footnote>
  <w:footnote w:type="continuationSeparator" w:id="0">
    <w:p w14:paraId="7A91129E" w14:textId="77777777" w:rsidR="000D6928" w:rsidRDefault="000D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F2A033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4FE3FF0"/>
    <w:lvl w:ilvl="0">
      <w:start w:val="1"/>
      <w:numFmt w:val="decimal"/>
      <w:pStyle w:val="ListNumber"/>
      <w:lvlText w:val="%1."/>
      <w:lvlJc w:val="left"/>
      <w:pPr>
        <w:tabs>
          <w:tab w:val="num" w:pos="810"/>
        </w:tabs>
        <w:ind w:left="810" w:hanging="360"/>
      </w:pPr>
    </w:lvl>
  </w:abstractNum>
  <w:abstractNum w:abstractNumId="2" w15:restartNumberingAfterBreak="0">
    <w:nsid w:val="FFFFFF89"/>
    <w:multiLevelType w:val="singleLevel"/>
    <w:tmpl w:val="711E09F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71150F"/>
    <w:multiLevelType w:val="hybridMultilevel"/>
    <w:tmpl w:val="0DCA5E98"/>
    <w:lvl w:ilvl="0" w:tplc="74264892">
      <w:start w:val="1"/>
      <w:numFmt w:val="bullet"/>
      <w:lvlText w:val=""/>
      <w:lvlJc w:val="left"/>
      <w:pPr>
        <w:tabs>
          <w:tab w:val="num" w:pos="1080"/>
        </w:tabs>
        <w:ind w:left="1080" w:hanging="360"/>
      </w:pPr>
      <w:rPr>
        <w:rFonts w:ascii="Wingdings" w:hAnsi="Wingdings" w:hint="default"/>
      </w:rPr>
    </w:lvl>
    <w:lvl w:ilvl="1" w:tplc="5616F664" w:tentative="1">
      <w:start w:val="1"/>
      <w:numFmt w:val="bullet"/>
      <w:lvlText w:val="o"/>
      <w:lvlJc w:val="left"/>
      <w:pPr>
        <w:tabs>
          <w:tab w:val="num" w:pos="1800"/>
        </w:tabs>
        <w:ind w:left="1800" w:hanging="360"/>
      </w:pPr>
      <w:rPr>
        <w:rFonts w:ascii="Courier New" w:hAnsi="Courier New" w:cs="Courier New" w:hint="default"/>
      </w:rPr>
    </w:lvl>
    <w:lvl w:ilvl="2" w:tplc="1812D20C" w:tentative="1">
      <w:start w:val="1"/>
      <w:numFmt w:val="bullet"/>
      <w:lvlText w:val=""/>
      <w:lvlJc w:val="left"/>
      <w:pPr>
        <w:tabs>
          <w:tab w:val="num" w:pos="2520"/>
        </w:tabs>
        <w:ind w:left="2520" w:hanging="360"/>
      </w:pPr>
      <w:rPr>
        <w:rFonts w:ascii="Wingdings" w:hAnsi="Wingdings" w:hint="default"/>
      </w:rPr>
    </w:lvl>
    <w:lvl w:ilvl="3" w:tplc="A45A8F02" w:tentative="1">
      <w:start w:val="1"/>
      <w:numFmt w:val="bullet"/>
      <w:lvlText w:val=""/>
      <w:lvlJc w:val="left"/>
      <w:pPr>
        <w:tabs>
          <w:tab w:val="num" w:pos="3240"/>
        </w:tabs>
        <w:ind w:left="3240" w:hanging="360"/>
      </w:pPr>
      <w:rPr>
        <w:rFonts w:ascii="Symbol" w:hAnsi="Symbol" w:hint="default"/>
      </w:rPr>
    </w:lvl>
    <w:lvl w:ilvl="4" w:tplc="A8EC028A" w:tentative="1">
      <w:start w:val="1"/>
      <w:numFmt w:val="bullet"/>
      <w:lvlText w:val="o"/>
      <w:lvlJc w:val="left"/>
      <w:pPr>
        <w:tabs>
          <w:tab w:val="num" w:pos="3960"/>
        </w:tabs>
        <w:ind w:left="3960" w:hanging="360"/>
      </w:pPr>
      <w:rPr>
        <w:rFonts w:ascii="Courier New" w:hAnsi="Courier New" w:cs="Courier New" w:hint="default"/>
      </w:rPr>
    </w:lvl>
    <w:lvl w:ilvl="5" w:tplc="AB208B3C" w:tentative="1">
      <w:start w:val="1"/>
      <w:numFmt w:val="bullet"/>
      <w:lvlText w:val=""/>
      <w:lvlJc w:val="left"/>
      <w:pPr>
        <w:tabs>
          <w:tab w:val="num" w:pos="4680"/>
        </w:tabs>
        <w:ind w:left="4680" w:hanging="360"/>
      </w:pPr>
      <w:rPr>
        <w:rFonts w:ascii="Wingdings" w:hAnsi="Wingdings" w:hint="default"/>
      </w:rPr>
    </w:lvl>
    <w:lvl w:ilvl="6" w:tplc="FBBE3FEC" w:tentative="1">
      <w:start w:val="1"/>
      <w:numFmt w:val="bullet"/>
      <w:lvlText w:val=""/>
      <w:lvlJc w:val="left"/>
      <w:pPr>
        <w:tabs>
          <w:tab w:val="num" w:pos="5400"/>
        </w:tabs>
        <w:ind w:left="5400" w:hanging="360"/>
      </w:pPr>
      <w:rPr>
        <w:rFonts w:ascii="Symbol" w:hAnsi="Symbol" w:hint="default"/>
      </w:rPr>
    </w:lvl>
    <w:lvl w:ilvl="7" w:tplc="9BDA61D6" w:tentative="1">
      <w:start w:val="1"/>
      <w:numFmt w:val="bullet"/>
      <w:lvlText w:val="o"/>
      <w:lvlJc w:val="left"/>
      <w:pPr>
        <w:tabs>
          <w:tab w:val="num" w:pos="6120"/>
        </w:tabs>
        <w:ind w:left="6120" w:hanging="360"/>
      </w:pPr>
      <w:rPr>
        <w:rFonts w:ascii="Courier New" w:hAnsi="Courier New" w:cs="Courier New" w:hint="default"/>
      </w:rPr>
    </w:lvl>
    <w:lvl w:ilvl="8" w:tplc="BD0ACCF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7B62D7"/>
    <w:multiLevelType w:val="hybridMultilevel"/>
    <w:tmpl w:val="36502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1A6899"/>
    <w:multiLevelType w:val="hybridMultilevel"/>
    <w:tmpl w:val="CAB036DA"/>
    <w:lvl w:ilvl="0" w:tplc="CF64B3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9037A"/>
    <w:multiLevelType w:val="hybridMultilevel"/>
    <w:tmpl w:val="FC74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F2FEF"/>
    <w:multiLevelType w:val="hybridMultilevel"/>
    <w:tmpl w:val="81F06678"/>
    <w:lvl w:ilvl="0" w:tplc="A6CA2B4A">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2246"/>
    <w:multiLevelType w:val="hybridMultilevel"/>
    <w:tmpl w:val="A718AE6A"/>
    <w:lvl w:ilvl="0" w:tplc="B0065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C5802"/>
    <w:multiLevelType w:val="hybridMultilevel"/>
    <w:tmpl w:val="909EA3BA"/>
    <w:lvl w:ilvl="0" w:tplc="C5C483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77DDD"/>
    <w:multiLevelType w:val="hybridMultilevel"/>
    <w:tmpl w:val="E8A4A0FE"/>
    <w:lvl w:ilvl="0" w:tplc="B272681C">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1" w15:restartNumberingAfterBreak="0">
    <w:nsid w:val="1C163580"/>
    <w:multiLevelType w:val="hybridMultilevel"/>
    <w:tmpl w:val="3EAA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57ADE"/>
    <w:multiLevelType w:val="hybridMultilevel"/>
    <w:tmpl w:val="E770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64815"/>
    <w:multiLevelType w:val="singleLevel"/>
    <w:tmpl w:val="1800F9DE"/>
    <w:lvl w:ilvl="0">
      <w:start w:val="1"/>
      <w:numFmt w:val="decimal"/>
      <w:lvlText w:val=""/>
      <w:lvlJc w:val="left"/>
      <w:pPr>
        <w:tabs>
          <w:tab w:val="num" w:pos="720"/>
        </w:tabs>
        <w:ind w:left="720" w:hanging="360"/>
      </w:pPr>
      <w:rPr>
        <w:rFonts w:hint="default"/>
      </w:rPr>
    </w:lvl>
  </w:abstractNum>
  <w:abstractNum w:abstractNumId="14" w15:restartNumberingAfterBreak="0">
    <w:nsid w:val="349026B5"/>
    <w:multiLevelType w:val="hybridMultilevel"/>
    <w:tmpl w:val="25DE43C8"/>
    <w:lvl w:ilvl="0" w:tplc="9F96D5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224E43"/>
    <w:multiLevelType w:val="hybridMultilevel"/>
    <w:tmpl w:val="45B8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40ADC"/>
    <w:multiLevelType w:val="hybridMultilevel"/>
    <w:tmpl w:val="8F8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70824"/>
    <w:multiLevelType w:val="hybridMultilevel"/>
    <w:tmpl w:val="3E2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C0ACF"/>
    <w:multiLevelType w:val="hybridMultilevel"/>
    <w:tmpl w:val="7BAE43E2"/>
    <w:lvl w:ilvl="0" w:tplc="05DC33C2">
      <w:start w:val="1"/>
      <w:numFmt w:val="decimal"/>
      <w:lvlText w:val="%1."/>
      <w:lvlJc w:val="left"/>
      <w:pPr>
        <w:tabs>
          <w:tab w:val="num" w:pos="435"/>
        </w:tabs>
        <w:ind w:left="435" w:hanging="435"/>
      </w:pPr>
      <w:rPr>
        <w:rFonts w:ascii="Arial" w:hAnsi="Arial" w:cs="Arial" w:hint="default"/>
      </w:rPr>
    </w:lvl>
    <w:lvl w:ilvl="1" w:tplc="1C9605CC" w:tentative="1">
      <w:start w:val="1"/>
      <w:numFmt w:val="lowerLetter"/>
      <w:lvlText w:val="%2."/>
      <w:lvlJc w:val="left"/>
      <w:pPr>
        <w:tabs>
          <w:tab w:val="num" w:pos="1440"/>
        </w:tabs>
        <w:ind w:left="1440" w:hanging="360"/>
      </w:pPr>
    </w:lvl>
    <w:lvl w:ilvl="2" w:tplc="DD7A4822" w:tentative="1">
      <w:start w:val="1"/>
      <w:numFmt w:val="lowerRoman"/>
      <w:lvlText w:val="%3."/>
      <w:lvlJc w:val="right"/>
      <w:pPr>
        <w:tabs>
          <w:tab w:val="num" w:pos="2160"/>
        </w:tabs>
        <w:ind w:left="2160" w:hanging="180"/>
      </w:pPr>
    </w:lvl>
    <w:lvl w:ilvl="3" w:tplc="CA7A435C" w:tentative="1">
      <w:start w:val="1"/>
      <w:numFmt w:val="decimal"/>
      <w:lvlText w:val="%4."/>
      <w:lvlJc w:val="left"/>
      <w:pPr>
        <w:tabs>
          <w:tab w:val="num" w:pos="2880"/>
        </w:tabs>
        <w:ind w:left="2880" w:hanging="360"/>
      </w:pPr>
    </w:lvl>
    <w:lvl w:ilvl="4" w:tplc="94785C76" w:tentative="1">
      <w:start w:val="1"/>
      <w:numFmt w:val="lowerLetter"/>
      <w:lvlText w:val="%5."/>
      <w:lvlJc w:val="left"/>
      <w:pPr>
        <w:tabs>
          <w:tab w:val="num" w:pos="3600"/>
        </w:tabs>
        <w:ind w:left="3600" w:hanging="360"/>
      </w:pPr>
    </w:lvl>
    <w:lvl w:ilvl="5" w:tplc="A7FA9462" w:tentative="1">
      <w:start w:val="1"/>
      <w:numFmt w:val="lowerRoman"/>
      <w:lvlText w:val="%6."/>
      <w:lvlJc w:val="right"/>
      <w:pPr>
        <w:tabs>
          <w:tab w:val="num" w:pos="4320"/>
        </w:tabs>
        <w:ind w:left="4320" w:hanging="180"/>
      </w:pPr>
    </w:lvl>
    <w:lvl w:ilvl="6" w:tplc="EA5C65AE" w:tentative="1">
      <w:start w:val="1"/>
      <w:numFmt w:val="decimal"/>
      <w:lvlText w:val="%7."/>
      <w:lvlJc w:val="left"/>
      <w:pPr>
        <w:tabs>
          <w:tab w:val="num" w:pos="5040"/>
        </w:tabs>
        <w:ind w:left="5040" w:hanging="360"/>
      </w:pPr>
    </w:lvl>
    <w:lvl w:ilvl="7" w:tplc="3594C324" w:tentative="1">
      <w:start w:val="1"/>
      <w:numFmt w:val="lowerLetter"/>
      <w:lvlText w:val="%8."/>
      <w:lvlJc w:val="left"/>
      <w:pPr>
        <w:tabs>
          <w:tab w:val="num" w:pos="5760"/>
        </w:tabs>
        <w:ind w:left="5760" w:hanging="360"/>
      </w:pPr>
    </w:lvl>
    <w:lvl w:ilvl="8" w:tplc="C14AEE6A" w:tentative="1">
      <w:start w:val="1"/>
      <w:numFmt w:val="lowerRoman"/>
      <w:lvlText w:val="%9."/>
      <w:lvlJc w:val="right"/>
      <w:pPr>
        <w:tabs>
          <w:tab w:val="num" w:pos="6480"/>
        </w:tabs>
        <w:ind w:left="6480" w:hanging="180"/>
      </w:pPr>
    </w:lvl>
  </w:abstractNum>
  <w:abstractNum w:abstractNumId="19" w15:restartNumberingAfterBreak="0">
    <w:nsid w:val="51451AF2"/>
    <w:multiLevelType w:val="hybridMultilevel"/>
    <w:tmpl w:val="2A0EBE6C"/>
    <w:lvl w:ilvl="0" w:tplc="DC0E833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917969"/>
    <w:multiLevelType w:val="hybridMultilevel"/>
    <w:tmpl w:val="79A2AAD6"/>
    <w:lvl w:ilvl="0" w:tplc="5DFE6F1C">
      <w:start w:val="1"/>
      <w:numFmt w:val="bullet"/>
      <w:lvlText w:val=""/>
      <w:lvlJc w:val="left"/>
      <w:pPr>
        <w:ind w:left="15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A4EE7"/>
    <w:multiLevelType w:val="hybridMultilevel"/>
    <w:tmpl w:val="98C89A8C"/>
    <w:lvl w:ilvl="0" w:tplc="04090001">
      <w:start w:val="1"/>
      <w:numFmt w:val="bullet"/>
      <w:lvlText w:val=""/>
      <w:lvlJc w:val="left"/>
      <w:pPr>
        <w:ind w:left="720" w:hanging="360"/>
      </w:pPr>
      <w:rPr>
        <w:rFonts w:ascii="Symbol" w:hAnsi="Symbol" w:hint="default"/>
      </w:rPr>
    </w:lvl>
    <w:lvl w:ilvl="1" w:tplc="608E8C0A">
      <w:start w:val="1"/>
      <w:numFmt w:val="bullet"/>
      <w:pStyle w:val="Lis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E45A9"/>
    <w:multiLevelType w:val="hybridMultilevel"/>
    <w:tmpl w:val="6FAC74DC"/>
    <w:lvl w:ilvl="0" w:tplc="6F2A03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70ABC"/>
    <w:multiLevelType w:val="hybridMultilevel"/>
    <w:tmpl w:val="2E68C568"/>
    <w:lvl w:ilvl="0" w:tplc="25AA4D48">
      <w:start w:val="1"/>
      <w:numFmt w:val="decimal"/>
      <w:lvlText w:val="%1."/>
      <w:lvlJc w:val="left"/>
      <w:pPr>
        <w:tabs>
          <w:tab w:val="num" w:pos="1650"/>
        </w:tabs>
        <w:ind w:left="1650" w:hanging="1290"/>
      </w:pPr>
      <w:rPr>
        <w:rFonts w:hint="default"/>
      </w:rPr>
    </w:lvl>
    <w:lvl w:ilvl="1" w:tplc="5C50CF1E" w:tentative="1">
      <w:start w:val="1"/>
      <w:numFmt w:val="lowerLetter"/>
      <w:lvlText w:val="%2."/>
      <w:lvlJc w:val="left"/>
      <w:pPr>
        <w:tabs>
          <w:tab w:val="num" w:pos="1440"/>
        </w:tabs>
        <w:ind w:left="1440" w:hanging="360"/>
      </w:pPr>
    </w:lvl>
    <w:lvl w:ilvl="2" w:tplc="5C2EC740" w:tentative="1">
      <w:start w:val="1"/>
      <w:numFmt w:val="lowerRoman"/>
      <w:lvlText w:val="%3."/>
      <w:lvlJc w:val="right"/>
      <w:pPr>
        <w:tabs>
          <w:tab w:val="num" w:pos="2160"/>
        </w:tabs>
        <w:ind w:left="2160" w:hanging="180"/>
      </w:pPr>
    </w:lvl>
    <w:lvl w:ilvl="3" w:tplc="8C562E72" w:tentative="1">
      <w:start w:val="1"/>
      <w:numFmt w:val="decimal"/>
      <w:lvlText w:val="%4."/>
      <w:lvlJc w:val="left"/>
      <w:pPr>
        <w:tabs>
          <w:tab w:val="num" w:pos="2880"/>
        </w:tabs>
        <w:ind w:left="2880" w:hanging="360"/>
      </w:pPr>
    </w:lvl>
    <w:lvl w:ilvl="4" w:tplc="2DC42D08" w:tentative="1">
      <w:start w:val="1"/>
      <w:numFmt w:val="lowerLetter"/>
      <w:lvlText w:val="%5."/>
      <w:lvlJc w:val="left"/>
      <w:pPr>
        <w:tabs>
          <w:tab w:val="num" w:pos="3600"/>
        </w:tabs>
        <w:ind w:left="3600" w:hanging="360"/>
      </w:pPr>
    </w:lvl>
    <w:lvl w:ilvl="5" w:tplc="D832939E" w:tentative="1">
      <w:start w:val="1"/>
      <w:numFmt w:val="lowerRoman"/>
      <w:lvlText w:val="%6."/>
      <w:lvlJc w:val="right"/>
      <w:pPr>
        <w:tabs>
          <w:tab w:val="num" w:pos="4320"/>
        </w:tabs>
        <w:ind w:left="4320" w:hanging="180"/>
      </w:pPr>
    </w:lvl>
    <w:lvl w:ilvl="6" w:tplc="B100D8A8" w:tentative="1">
      <w:start w:val="1"/>
      <w:numFmt w:val="decimal"/>
      <w:lvlText w:val="%7."/>
      <w:lvlJc w:val="left"/>
      <w:pPr>
        <w:tabs>
          <w:tab w:val="num" w:pos="5040"/>
        </w:tabs>
        <w:ind w:left="5040" w:hanging="360"/>
      </w:pPr>
    </w:lvl>
    <w:lvl w:ilvl="7" w:tplc="31CCB4EE" w:tentative="1">
      <w:start w:val="1"/>
      <w:numFmt w:val="lowerLetter"/>
      <w:lvlText w:val="%8."/>
      <w:lvlJc w:val="left"/>
      <w:pPr>
        <w:tabs>
          <w:tab w:val="num" w:pos="5760"/>
        </w:tabs>
        <w:ind w:left="5760" w:hanging="360"/>
      </w:pPr>
    </w:lvl>
    <w:lvl w:ilvl="8" w:tplc="C5B65388" w:tentative="1">
      <w:start w:val="1"/>
      <w:numFmt w:val="lowerRoman"/>
      <w:lvlText w:val="%9."/>
      <w:lvlJc w:val="right"/>
      <w:pPr>
        <w:tabs>
          <w:tab w:val="num" w:pos="6480"/>
        </w:tabs>
        <w:ind w:left="6480" w:hanging="180"/>
      </w:pPr>
    </w:lvl>
  </w:abstractNum>
  <w:abstractNum w:abstractNumId="24" w15:restartNumberingAfterBreak="0">
    <w:nsid w:val="72D776C4"/>
    <w:multiLevelType w:val="hybridMultilevel"/>
    <w:tmpl w:val="B66C0140"/>
    <w:lvl w:ilvl="0" w:tplc="606C6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525E3"/>
    <w:multiLevelType w:val="hybridMultilevel"/>
    <w:tmpl w:val="B20CE6A8"/>
    <w:lvl w:ilvl="0" w:tplc="5C9EA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57AF6"/>
    <w:multiLevelType w:val="hybridMultilevel"/>
    <w:tmpl w:val="6AE0AD0A"/>
    <w:lvl w:ilvl="0" w:tplc="CACC6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1"/>
  </w:num>
  <w:num w:numId="5">
    <w:abstractNumId w:val="3"/>
  </w:num>
  <w:num w:numId="6">
    <w:abstractNumId w:val="18"/>
  </w:num>
  <w:num w:numId="7">
    <w:abstractNumId w:val="13"/>
  </w:num>
  <w:num w:numId="8">
    <w:abstractNumId w:val="4"/>
  </w:num>
  <w:num w:numId="9">
    <w:abstractNumId w:val="14"/>
  </w:num>
  <w:num w:numId="10">
    <w:abstractNumId w:val="16"/>
  </w:num>
  <w:num w:numId="11">
    <w:abstractNumId w:val="15"/>
  </w:num>
  <w:num w:numId="12">
    <w:abstractNumId w:val="12"/>
  </w:num>
  <w:num w:numId="13">
    <w:abstractNumId w:val="25"/>
  </w:num>
  <w:num w:numId="14">
    <w:abstractNumId w:val="5"/>
  </w:num>
  <w:num w:numId="15">
    <w:abstractNumId w:val="8"/>
  </w:num>
  <w:num w:numId="16">
    <w:abstractNumId w:val="26"/>
  </w:num>
  <w:num w:numId="17">
    <w:abstractNumId w:val="24"/>
  </w:num>
  <w:num w:numId="18">
    <w:abstractNumId w:val="19"/>
  </w:num>
  <w:num w:numId="19">
    <w:abstractNumId w:val="7"/>
  </w:num>
  <w:num w:numId="20">
    <w:abstractNumId w:val="17"/>
  </w:num>
  <w:num w:numId="21">
    <w:abstractNumId w:val="9"/>
  </w:num>
  <w:num w:numId="22">
    <w:abstractNumId w:val="10"/>
  </w:num>
  <w:num w:numId="23">
    <w:abstractNumId w:val="20"/>
  </w:num>
  <w:num w:numId="24">
    <w:abstractNumId w:val="11"/>
  </w:num>
  <w:num w:numId="25">
    <w:abstractNumId w:val="6"/>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53"/>
    <w:rsid w:val="000020B2"/>
    <w:rsid w:val="000062E4"/>
    <w:rsid w:val="000141F6"/>
    <w:rsid w:val="000154B0"/>
    <w:rsid w:val="00017CE7"/>
    <w:rsid w:val="00023028"/>
    <w:rsid w:val="0002528F"/>
    <w:rsid w:val="00033D16"/>
    <w:rsid w:val="00040058"/>
    <w:rsid w:val="00041DF0"/>
    <w:rsid w:val="00054211"/>
    <w:rsid w:val="00056654"/>
    <w:rsid w:val="000578F6"/>
    <w:rsid w:val="00060854"/>
    <w:rsid w:val="0006163D"/>
    <w:rsid w:val="00064AB7"/>
    <w:rsid w:val="000667FD"/>
    <w:rsid w:val="00077139"/>
    <w:rsid w:val="000855B2"/>
    <w:rsid w:val="000875E7"/>
    <w:rsid w:val="00091365"/>
    <w:rsid w:val="0009240A"/>
    <w:rsid w:val="000949B0"/>
    <w:rsid w:val="00096EF0"/>
    <w:rsid w:val="000A29BE"/>
    <w:rsid w:val="000C4A3D"/>
    <w:rsid w:val="000D28EC"/>
    <w:rsid w:val="000D3C18"/>
    <w:rsid w:val="000D669C"/>
    <w:rsid w:val="000D6928"/>
    <w:rsid w:val="000E04D0"/>
    <w:rsid w:val="000E40DB"/>
    <w:rsid w:val="000F3852"/>
    <w:rsid w:val="000F6D20"/>
    <w:rsid w:val="00100CD2"/>
    <w:rsid w:val="00105751"/>
    <w:rsid w:val="0011550C"/>
    <w:rsid w:val="001275FA"/>
    <w:rsid w:val="00130840"/>
    <w:rsid w:val="0013410C"/>
    <w:rsid w:val="00136443"/>
    <w:rsid w:val="00141199"/>
    <w:rsid w:val="001426E0"/>
    <w:rsid w:val="00144545"/>
    <w:rsid w:val="00151582"/>
    <w:rsid w:val="001552A0"/>
    <w:rsid w:val="001623F4"/>
    <w:rsid w:val="001654E3"/>
    <w:rsid w:val="001701A8"/>
    <w:rsid w:val="00170B59"/>
    <w:rsid w:val="00171863"/>
    <w:rsid w:val="001864A9"/>
    <w:rsid w:val="0019247D"/>
    <w:rsid w:val="00192E4D"/>
    <w:rsid w:val="00193757"/>
    <w:rsid w:val="001A3584"/>
    <w:rsid w:val="001B23AC"/>
    <w:rsid w:val="001C0F21"/>
    <w:rsid w:val="001C1206"/>
    <w:rsid w:val="001C1731"/>
    <w:rsid w:val="001C4244"/>
    <w:rsid w:val="001D0B33"/>
    <w:rsid w:val="001D3E72"/>
    <w:rsid w:val="001D5CF4"/>
    <w:rsid w:val="001E7229"/>
    <w:rsid w:val="001F56B5"/>
    <w:rsid w:val="00217F95"/>
    <w:rsid w:val="002244FE"/>
    <w:rsid w:val="00225A1C"/>
    <w:rsid w:val="002306DA"/>
    <w:rsid w:val="00242EAC"/>
    <w:rsid w:val="00251D08"/>
    <w:rsid w:val="002555BD"/>
    <w:rsid w:val="00272073"/>
    <w:rsid w:val="00280437"/>
    <w:rsid w:val="00284231"/>
    <w:rsid w:val="00286852"/>
    <w:rsid w:val="00290855"/>
    <w:rsid w:val="00290AD9"/>
    <w:rsid w:val="00293CC5"/>
    <w:rsid w:val="002A2F02"/>
    <w:rsid w:val="002A3EB9"/>
    <w:rsid w:val="002A7FB8"/>
    <w:rsid w:val="002B1280"/>
    <w:rsid w:val="002B153B"/>
    <w:rsid w:val="002B33BB"/>
    <w:rsid w:val="002B56B9"/>
    <w:rsid w:val="002B5780"/>
    <w:rsid w:val="002D03C8"/>
    <w:rsid w:val="002F4771"/>
    <w:rsid w:val="002F483B"/>
    <w:rsid w:val="00303A65"/>
    <w:rsid w:val="0030654F"/>
    <w:rsid w:val="00313479"/>
    <w:rsid w:val="00317156"/>
    <w:rsid w:val="00322555"/>
    <w:rsid w:val="00324E78"/>
    <w:rsid w:val="00333254"/>
    <w:rsid w:val="00333288"/>
    <w:rsid w:val="00344147"/>
    <w:rsid w:val="003441CC"/>
    <w:rsid w:val="00350A12"/>
    <w:rsid w:val="00353B08"/>
    <w:rsid w:val="00353CC4"/>
    <w:rsid w:val="00353D40"/>
    <w:rsid w:val="003540FE"/>
    <w:rsid w:val="00362715"/>
    <w:rsid w:val="00367DA0"/>
    <w:rsid w:val="00371042"/>
    <w:rsid w:val="003724E7"/>
    <w:rsid w:val="00374B87"/>
    <w:rsid w:val="00385F93"/>
    <w:rsid w:val="003926E2"/>
    <w:rsid w:val="00392BE2"/>
    <w:rsid w:val="003A032A"/>
    <w:rsid w:val="003A726E"/>
    <w:rsid w:val="003B0E05"/>
    <w:rsid w:val="003B14F2"/>
    <w:rsid w:val="003B2EB3"/>
    <w:rsid w:val="003B4468"/>
    <w:rsid w:val="003B4520"/>
    <w:rsid w:val="003C2BFE"/>
    <w:rsid w:val="003D0908"/>
    <w:rsid w:val="003D14E8"/>
    <w:rsid w:val="003D192D"/>
    <w:rsid w:val="003D5164"/>
    <w:rsid w:val="003D757D"/>
    <w:rsid w:val="003E220E"/>
    <w:rsid w:val="003E2CC6"/>
    <w:rsid w:val="003E7561"/>
    <w:rsid w:val="003F0521"/>
    <w:rsid w:val="003F3BE7"/>
    <w:rsid w:val="003F49CE"/>
    <w:rsid w:val="00402222"/>
    <w:rsid w:val="00402D2D"/>
    <w:rsid w:val="00403986"/>
    <w:rsid w:val="00406AB6"/>
    <w:rsid w:val="00426539"/>
    <w:rsid w:val="00431690"/>
    <w:rsid w:val="00440965"/>
    <w:rsid w:val="004424A3"/>
    <w:rsid w:val="004440AE"/>
    <w:rsid w:val="004524D1"/>
    <w:rsid w:val="004540DB"/>
    <w:rsid w:val="0046052C"/>
    <w:rsid w:val="00464BC0"/>
    <w:rsid w:val="00475B05"/>
    <w:rsid w:val="00480B76"/>
    <w:rsid w:val="004A028D"/>
    <w:rsid w:val="004A0E29"/>
    <w:rsid w:val="004A2A58"/>
    <w:rsid w:val="004A4969"/>
    <w:rsid w:val="004B0C52"/>
    <w:rsid w:val="004C49DA"/>
    <w:rsid w:val="004D0152"/>
    <w:rsid w:val="004D0881"/>
    <w:rsid w:val="004D0921"/>
    <w:rsid w:val="004D31A3"/>
    <w:rsid w:val="004D65D9"/>
    <w:rsid w:val="004D6A34"/>
    <w:rsid w:val="004E1496"/>
    <w:rsid w:val="004E25E8"/>
    <w:rsid w:val="004E50BA"/>
    <w:rsid w:val="004E5678"/>
    <w:rsid w:val="004F3B7A"/>
    <w:rsid w:val="004F4AF2"/>
    <w:rsid w:val="004F7669"/>
    <w:rsid w:val="00522094"/>
    <w:rsid w:val="00522CAE"/>
    <w:rsid w:val="0052583A"/>
    <w:rsid w:val="005316EE"/>
    <w:rsid w:val="00533C25"/>
    <w:rsid w:val="00534212"/>
    <w:rsid w:val="00537DB8"/>
    <w:rsid w:val="00542294"/>
    <w:rsid w:val="00550F75"/>
    <w:rsid w:val="005536E8"/>
    <w:rsid w:val="00563039"/>
    <w:rsid w:val="0056315D"/>
    <w:rsid w:val="005676FE"/>
    <w:rsid w:val="0057167E"/>
    <w:rsid w:val="00590BCD"/>
    <w:rsid w:val="00593B5E"/>
    <w:rsid w:val="0059416B"/>
    <w:rsid w:val="005A49B6"/>
    <w:rsid w:val="005A6788"/>
    <w:rsid w:val="005A7D0C"/>
    <w:rsid w:val="005B3F81"/>
    <w:rsid w:val="005B7191"/>
    <w:rsid w:val="005C3CBA"/>
    <w:rsid w:val="005C62B9"/>
    <w:rsid w:val="005D6F1C"/>
    <w:rsid w:val="005E076B"/>
    <w:rsid w:val="005F3D1B"/>
    <w:rsid w:val="005F7B7B"/>
    <w:rsid w:val="0060749C"/>
    <w:rsid w:val="00610192"/>
    <w:rsid w:val="00627223"/>
    <w:rsid w:val="006360E7"/>
    <w:rsid w:val="00636F51"/>
    <w:rsid w:val="00636F67"/>
    <w:rsid w:val="006374FF"/>
    <w:rsid w:val="00640C35"/>
    <w:rsid w:val="00641F3B"/>
    <w:rsid w:val="00642042"/>
    <w:rsid w:val="00652F59"/>
    <w:rsid w:val="006626FB"/>
    <w:rsid w:val="006665D2"/>
    <w:rsid w:val="00673AD4"/>
    <w:rsid w:val="00676D1B"/>
    <w:rsid w:val="00677745"/>
    <w:rsid w:val="00680A2E"/>
    <w:rsid w:val="00683B0A"/>
    <w:rsid w:val="00685666"/>
    <w:rsid w:val="00687EC6"/>
    <w:rsid w:val="00690D6E"/>
    <w:rsid w:val="00694DF1"/>
    <w:rsid w:val="00697133"/>
    <w:rsid w:val="0069763C"/>
    <w:rsid w:val="006A1099"/>
    <w:rsid w:val="006A1632"/>
    <w:rsid w:val="006A256F"/>
    <w:rsid w:val="006C12A0"/>
    <w:rsid w:val="006C3A3F"/>
    <w:rsid w:val="006C6A55"/>
    <w:rsid w:val="006E513C"/>
    <w:rsid w:val="006E7807"/>
    <w:rsid w:val="006F1713"/>
    <w:rsid w:val="006F1C2B"/>
    <w:rsid w:val="006F62CC"/>
    <w:rsid w:val="00704422"/>
    <w:rsid w:val="00713DE9"/>
    <w:rsid w:val="00716DD5"/>
    <w:rsid w:val="007233A3"/>
    <w:rsid w:val="007369F6"/>
    <w:rsid w:val="00740893"/>
    <w:rsid w:val="00746A5E"/>
    <w:rsid w:val="00753C0E"/>
    <w:rsid w:val="00755081"/>
    <w:rsid w:val="0075781F"/>
    <w:rsid w:val="00762345"/>
    <w:rsid w:val="00765975"/>
    <w:rsid w:val="0077410D"/>
    <w:rsid w:val="007A0BB5"/>
    <w:rsid w:val="007A1C01"/>
    <w:rsid w:val="007A35F1"/>
    <w:rsid w:val="007A6E34"/>
    <w:rsid w:val="007A72BC"/>
    <w:rsid w:val="007B4AC4"/>
    <w:rsid w:val="007D16E7"/>
    <w:rsid w:val="007D52F9"/>
    <w:rsid w:val="007E51F9"/>
    <w:rsid w:val="007F0FED"/>
    <w:rsid w:val="007F5F20"/>
    <w:rsid w:val="007F6DA9"/>
    <w:rsid w:val="00804FE2"/>
    <w:rsid w:val="00807616"/>
    <w:rsid w:val="008213BE"/>
    <w:rsid w:val="0082521B"/>
    <w:rsid w:val="008278BD"/>
    <w:rsid w:val="00830D2C"/>
    <w:rsid w:val="0083668C"/>
    <w:rsid w:val="0084081F"/>
    <w:rsid w:val="008646F3"/>
    <w:rsid w:val="00872A5E"/>
    <w:rsid w:val="00873021"/>
    <w:rsid w:val="00877869"/>
    <w:rsid w:val="00884BB9"/>
    <w:rsid w:val="008869D2"/>
    <w:rsid w:val="00890385"/>
    <w:rsid w:val="008905B3"/>
    <w:rsid w:val="00890D79"/>
    <w:rsid w:val="00893604"/>
    <w:rsid w:val="00896D13"/>
    <w:rsid w:val="00897503"/>
    <w:rsid w:val="00897E46"/>
    <w:rsid w:val="008C3B93"/>
    <w:rsid w:val="008C7208"/>
    <w:rsid w:val="008D07CA"/>
    <w:rsid w:val="008D0EF4"/>
    <w:rsid w:val="008D1E37"/>
    <w:rsid w:val="008D3D59"/>
    <w:rsid w:val="008D5ADE"/>
    <w:rsid w:val="008E0365"/>
    <w:rsid w:val="008E7A9B"/>
    <w:rsid w:val="008F2A00"/>
    <w:rsid w:val="008F7839"/>
    <w:rsid w:val="009016CC"/>
    <w:rsid w:val="00911CF2"/>
    <w:rsid w:val="00933A2A"/>
    <w:rsid w:val="00933FE0"/>
    <w:rsid w:val="00937E39"/>
    <w:rsid w:val="00943FAF"/>
    <w:rsid w:val="00944199"/>
    <w:rsid w:val="00946C0C"/>
    <w:rsid w:val="009500C5"/>
    <w:rsid w:val="0095550D"/>
    <w:rsid w:val="00961B56"/>
    <w:rsid w:val="0096789B"/>
    <w:rsid w:val="00974C25"/>
    <w:rsid w:val="009818C9"/>
    <w:rsid w:val="009837F8"/>
    <w:rsid w:val="00984060"/>
    <w:rsid w:val="00985111"/>
    <w:rsid w:val="00985691"/>
    <w:rsid w:val="009864D6"/>
    <w:rsid w:val="00987EC7"/>
    <w:rsid w:val="00991C74"/>
    <w:rsid w:val="009A2949"/>
    <w:rsid w:val="009B5349"/>
    <w:rsid w:val="009C0170"/>
    <w:rsid w:val="009C19CC"/>
    <w:rsid w:val="009D2C90"/>
    <w:rsid w:val="009E327E"/>
    <w:rsid w:val="009E4E64"/>
    <w:rsid w:val="009E5F78"/>
    <w:rsid w:val="009F09DA"/>
    <w:rsid w:val="009F38E1"/>
    <w:rsid w:val="009F4035"/>
    <w:rsid w:val="009F730D"/>
    <w:rsid w:val="00A127EE"/>
    <w:rsid w:val="00A15994"/>
    <w:rsid w:val="00A16A9D"/>
    <w:rsid w:val="00A17A28"/>
    <w:rsid w:val="00A20659"/>
    <w:rsid w:val="00A24193"/>
    <w:rsid w:val="00A40637"/>
    <w:rsid w:val="00A45A94"/>
    <w:rsid w:val="00A561B3"/>
    <w:rsid w:val="00A623A8"/>
    <w:rsid w:val="00A746B7"/>
    <w:rsid w:val="00A769C1"/>
    <w:rsid w:val="00A7759F"/>
    <w:rsid w:val="00A80C30"/>
    <w:rsid w:val="00A81960"/>
    <w:rsid w:val="00A855F8"/>
    <w:rsid w:val="00AA0E20"/>
    <w:rsid w:val="00AA2BD9"/>
    <w:rsid w:val="00AA6083"/>
    <w:rsid w:val="00AB2B72"/>
    <w:rsid w:val="00AB4365"/>
    <w:rsid w:val="00AC3D05"/>
    <w:rsid w:val="00AC6B15"/>
    <w:rsid w:val="00AD37CC"/>
    <w:rsid w:val="00AE4F36"/>
    <w:rsid w:val="00AF667D"/>
    <w:rsid w:val="00B032EE"/>
    <w:rsid w:val="00B066A9"/>
    <w:rsid w:val="00B1201A"/>
    <w:rsid w:val="00B1450C"/>
    <w:rsid w:val="00B1710E"/>
    <w:rsid w:val="00B24033"/>
    <w:rsid w:val="00B34873"/>
    <w:rsid w:val="00B500ED"/>
    <w:rsid w:val="00B633D6"/>
    <w:rsid w:val="00B67F70"/>
    <w:rsid w:val="00B7129B"/>
    <w:rsid w:val="00B8104E"/>
    <w:rsid w:val="00B83600"/>
    <w:rsid w:val="00B85232"/>
    <w:rsid w:val="00B865DE"/>
    <w:rsid w:val="00B90964"/>
    <w:rsid w:val="00B979EA"/>
    <w:rsid w:val="00BB726A"/>
    <w:rsid w:val="00BC45C5"/>
    <w:rsid w:val="00BD28EA"/>
    <w:rsid w:val="00BD4406"/>
    <w:rsid w:val="00BD4A4C"/>
    <w:rsid w:val="00BD5D68"/>
    <w:rsid w:val="00BE375F"/>
    <w:rsid w:val="00BF113E"/>
    <w:rsid w:val="00BF1873"/>
    <w:rsid w:val="00BF78CD"/>
    <w:rsid w:val="00C04E06"/>
    <w:rsid w:val="00C04EEB"/>
    <w:rsid w:val="00C05969"/>
    <w:rsid w:val="00C1157D"/>
    <w:rsid w:val="00C1560B"/>
    <w:rsid w:val="00C20AAA"/>
    <w:rsid w:val="00C234D1"/>
    <w:rsid w:val="00C306E8"/>
    <w:rsid w:val="00C30CCB"/>
    <w:rsid w:val="00C45621"/>
    <w:rsid w:val="00C45EFF"/>
    <w:rsid w:val="00C46421"/>
    <w:rsid w:val="00C63400"/>
    <w:rsid w:val="00C8248A"/>
    <w:rsid w:val="00C85FD8"/>
    <w:rsid w:val="00C86DF6"/>
    <w:rsid w:val="00C96D9B"/>
    <w:rsid w:val="00CA01DF"/>
    <w:rsid w:val="00CA1212"/>
    <w:rsid w:val="00CA1444"/>
    <w:rsid w:val="00CA742F"/>
    <w:rsid w:val="00CB45A8"/>
    <w:rsid w:val="00CC6A95"/>
    <w:rsid w:val="00CD470A"/>
    <w:rsid w:val="00CD796C"/>
    <w:rsid w:val="00CE36B2"/>
    <w:rsid w:val="00CE3B9C"/>
    <w:rsid w:val="00CE7D76"/>
    <w:rsid w:val="00CF22AC"/>
    <w:rsid w:val="00CF7C11"/>
    <w:rsid w:val="00D049DF"/>
    <w:rsid w:val="00D05153"/>
    <w:rsid w:val="00D0747D"/>
    <w:rsid w:val="00D12A10"/>
    <w:rsid w:val="00D14874"/>
    <w:rsid w:val="00D234F1"/>
    <w:rsid w:val="00D3288E"/>
    <w:rsid w:val="00D3483E"/>
    <w:rsid w:val="00D3528B"/>
    <w:rsid w:val="00D36A41"/>
    <w:rsid w:val="00D45004"/>
    <w:rsid w:val="00D4702D"/>
    <w:rsid w:val="00D503EA"/>
    <w:rsid w:val="00D71185"/>
    <w:rsid w:val="00D731AA"/>
    <w:rsid w:val="00D82B8E"/>
    <w:rsid w:val="00D953DC"/>
    <w:rsid w:val="00D975AA"/>
    <w:rsid w:val="00DA2647"/>
    <w:rsid w:val="00DA376C"/>
    <w:rsid w:val="00DB67E4"/>
    <w:rsid w:val="00DC0224"/>
    <w:rsid w:val="00DC1D7D"/>
    <w:rsid w:val="00DC357A"/>
    <w:rsid w:val="00DC417C"/>
    <w:rsid w:val="00DD2588"/>
    <w:rsid w:val="00DD2E9E"/>
    <w:rsid w:val="00DE099A"/>
    <w:rsid w:val="00DE0BDE"/>
    <w:rsid w:val="00DF3B5B"/>
    <w:rsid w:val="00E0015E"/>
    <w:rsid w:val="00E0530C"/>
    <w:rsid w:val="00E1022A"/>
    <w:rsid w:val="00E12BA4"/>
    <w:rsid w:val="00E16BFB"/>
    <w:rsid w:val="00E20B8D"/>
    <w:rsid w:val="00E214D5"/>
    <w:rsid w:val="00E23B60"/>
    <w:rsid w:val="00E25198"/>
    <w:rsid w:val="00E4338A"/>
    <w:rsid w:val="00E50CE9"/>
    <w:rsid w:val="00E63E26"/>
    <w:rsid w:val="00E63F3E"/>
    <w:rsid w:val="00E67D9B"/>
    <w:rsid w:val="00E76083"/>
    <w:rsid w:val="00E861C7"/>
    <w:rsid w:val="00E95917"/>
    <w:rsid w:val="00E9606E"/>
    <w:rsid w:val="00EA6EF7"/>
    <w:rsid w:val="00EB165F"/>
    <w:rsid w:val="00EB1EEA"/>
    <w:rsid w:val="00EB2258"/>
    <w:rsid w:val="00EB2860"/>
    <w:rsid w:val="00EC447F"/>
    <w:rsid w:val="00EC7830"/>
    <w:rsid w:val="00F05BE4"/>
    <w:rsid w:val="00F064E4"/>
    <w:rsid w:val="00F07A2B"/>
    <w:rsid w:val="00F103A3"/>
    <w:rsid w:val="00F2445B"/>
    <w:rsid w:val="00F24D9A"/>
    <w:rsid w:val="00F25BD9"/>
    <w:rsid w:val="00F27894"/>
    <w:rsid w:val="00F34617"/>
    <w:rsid w:val="00F352C0"/>
    <w:rsid w:val="00F42FD8"/>
    <w:rsid w:val="00F45514"/>
    <w:rsid w:val="00F4599F"/>
    <w:rsid w:val="00F60A60"/>
    <w:rsid w:val="00F6117F"/>
    <w:rsid w:val="00F71765"/>
    <w:rsid w:val="00F74797"/>
    <w:rsid w:val="00F823C2"/>
    <w:rsid w:val="00F83AA8"/>
    <w:rsid w:val="00F84224"/>
    <w:rsid w:val="00F86C90"/>
    <w:rsid w:val="00F96DAE"/>
    <w:rsid w:val="00FA3F60"/>
    <w:rsid w:val="00FA6E23"/>
    <w:rsid w:val="00FA71BF"/>
    <w:rsid w:val="00FA7BB4"/>
    <w:rsid w:val="00FB1D9B"/>
    <w:rsid w:val="00FB2F23"/>
    <w:rsid w:val="00FB5FF0"/>
    <w:rsid w:val="00FC1D6B"/>
    <w:rsid w:val="00FC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ABFBD"/>
  <w15:docId w15:val="{E40A977E-0CD8-479F-96B0-047FCEF1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ListBullet"/>
    <w:rPr>
      <w:sz w:val="20"/>
      <w:szCs w:val="20"/>
    </w:rPr>
  </w:style>
  <w:style w:type="paragraph" w:styleId="BodyTextIndent">
    <w:name w:val="Body Text Indent"/>
    <w:basedOn w:val="Normal"/>
    <w:pPr>
      <w:ind w:left="432"/>
    </w:pPr>
    <w:rPr>
      <w:sz w:val="20"/>
    </w:rPr>
  </w:style>
  <w:style w:type="paragraph" w:styleId="List2">
    <w:name w:val="List 2"/>
    <w:basedOn w:val="Normal"/>
    <w:pPr>
      <w:ind w:left="720" w:hanging="360"/>
    </w:pPr>
  </w:style>
  <w:style w:type="paragraph" w:styleId="ListBullet">
    <w:name w:val="List Bullet"/>
    <w:basedOn w:val="ListBullet2"/>
    <w:next w:val="ListBullet2"/>
    <w:autoRedefine/>
    <w:rsid w:val="00096EF0"/>
    <w:pPr>
      <w:numPr>
        <w:ilvl w:val="1"/>
        <w:numId w:val="27"/>
      </w:numPr>
      <w:tabs>
        <w:tab w:val="clear" w:pos="0"/>
        <w:tab w:val="left" w:pos="630"/>
        <w:tab w:val="left" w:pos="810"/>
      </w:tabs>
      <w:ind w:right="-162"/>
    </w:pPr>
  </w:style>
  <w:style w:type="paragraph" w:styleId="ListBullet2">
    <w:name w:val="List Bullet 2"/>
    <w:basedOn w:val="Normal"/>
    <w:next w:val="ListNumber"/>
    <w:autoRedefine/>
    <w:rsid w:val="00E12BA4"/>
    <w:pPr>
      <w:tabs>
        <w:tab w:val="left" w:pos="0"/>
      </w:tabs>
      <w:ind w:right="-72"/>
    </w:pPr>
    <w:rPr>
      <w:rFonts w:ascii="Arial" w:hAnsi="Arial" w:cs="Arial"/>
      <w:sz w:val="22"/>
      <w:szCs w:val="22"/>
    </w:rPr>
  </w:style>
  <w:style w:type="paragraph" w:styleId="BodyText2">
    <w:name w:val="Body Text 2"/>
    <w:basedOn w:val="Normal"/>
    <w:link w:val="BodyText2Char"/>
    <w:rPr>
      <w:sz w:val="20"/>
    </w:rPr>
  </w:style>
  <w:style w:type="paragraph" w:styleId="Title">
    <w:name w:val="Title"/>
    <w:basedOn w:val="Normal"/>
    <w:qFormat/>
    <w:pPr>
      <w:jc w:val="center"/>
    </w:pPr>
    <w:rPr>
      <w:b/>
      <w:sz w:val="32"/>
    </w:rPr>
  </w:style>
  <w:style w:type="paragraph" w:styleId="ListNumber">
    <w:name w:val="List Number"/>
    <w:basedOn w:val="Normal"/>
    <w:next w:val="ListContinue2"/>
    <w:pPr>
      <w:numPr>
        <w:numId w:val="4"/>
      </w:numPr>
    </w:pPr>
  </w:style>
  <w:style w:type="paragraph" w:styleId="ListContinue2">
    <w:name w:val="List Continue 2"/>
    <w:basedOn w:val="Normal"/>
    <w:pPr>
      <w:spacing w:after="120"/>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17CE7"/>
    <w:rPr>
      <w:rFonts w:ascii="Tahoma" w:hAnsi="Tahoma" w:cs="Tahoma"/>
      <w:sz w:val="16"/>
      <w:szCs w:val="16"/>
    </w:rPr>
  </w:style>
  <w:style w:type="paragraph" w:styleId="Header">
    <w:name w:val="header"/>
    <w:basedOn w:val="Normal"/>
    <w:rsid w:val="00317156"/>
    <w:pPr>
      <w:tabs>
        <w:tab w:val="center" w:pos="4320"/>
        <w:tab w:val="right" w:pos="8640"/>
      </w:tabs>
    </w:pPr>
  </w:style>
  <w:style w:type="character" w:customStyle="1" w:styleId="FooterChar">
    <w:name w:val="Footer Char"/>
    <w:link w:val="Footer"/>
    <w:uiPriority w:val="99"/>
    <w:rsid w:val="00E1022A"/>
    <w:rPr>
      <w:sz w:val="24"/>
      <w:szCs w:val="24"/>
    </w:rPr>
  </w:style>
  <w:style w:type="character" w:customStyle="1" w:styleId="BodyText2Char">
    <w:name w:val="Body Text 2 Char"/>
    <w:link w:val="BodyText2"/>
    <w:rsid w:val="005F3D1B"/>
    <w:rPr>
      <w:szCs w:val="24"/>
    </w:rPr>
  </w:style>
  <w:style w:type="paragraph" w:styleId="ListParagraph">
    <w:name w:val="List Paragraph"/>
    <w:basedOn w:val="Normal"/>
    <w:uiPriority w:val="34"/>
    <w:qFormat/>
    <w:rsid w:val="00033D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B91D-04FD-4D32-AAF1-CF40E166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Vendor Relationship Management Policy</vt:lpstr>
    </vt:vector>
  </TitlesOfParts>
  <Company>BankLogic</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Relationship Management Policy</dc:title>
  <dc:subject/>
  <dc:creator>Example</dc:creator>
  <cp:keywords/>
  <cp:lastModifiedBy>Brittany Padgett</cp:lastModifiedBy>
  <cp:revision>2</cp:revision>
  <cp:lastPrinted>2019-06-04T16:39:00Z</cp:lastPrinted>
  <dcterms:created xsi:type="dcterms:W3CDTF">2019-09-20T13:50:00Z</dcterms:created>
  <dcterms:modified xsi:type="dcterms:W3CDTF">2019-09-20T13:50:00Z</dcterms:modified>
</cp:coreProperties>
</file>